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spacing w:line="574" w:lineRule="exact"/>
        <w:ind w:right="0" w:rightChars="0"/>
        <w:jc w:val="center"/>
        <w:textAlignment w:val="auto"/>
        <w:rPr>
          <w:rFonts w:hint="eastAsia" w:ascii="微软简标宋" w:hAnsi="微软简标宋" w:eastAsia="微软简标宋" w:cs="微软简标宋"/>
          <w:spacing w:val="-6"/>
          <w:kern w:val="0"/>
          <w:sz w:val="44"/>
          <w:szCs w:val="44"/>
        </w:rPr>
      </w:pPr>
      <w:r>
        <w:rPr>
          <w:rFonts w:hint="eastAsia" w:ascii="微软简标宋" w:hAnsi="微软简标宋" w:eastAsia="微软简标宋" w:cs="微软简标宋"/>
          <w:spacing w:val="-6"/>
          <w:kern w:val="0"/>
          <w:sz w:val="44"/>
          <w:szCs w:val="44"/>
        </w:rPr>
        <w:t>中山市住房保障准入标准及轮候规则</w:t>
      </w:r>
    </w:p>
    <w:p>
      <w:pPr>
        <w:pageBreakBefore w:val="0"/>
        <w:widowControl w:val="0"/>
        <w:kinsoku/>
        <w:wordWrap/>
        <w:overflowPunct/>
        <w:topLinePunct w:val="0"/>
        <w:autoSpaceDE/>
        <w:autoSpaceDN/>
        <w:bidi w:val="0"/>
        <w:adjustRightInd w:val="0"/>
        <w:snapToGrid w:val="0"/>
        <w:spacing w:line="574" w:lineRule="exact"/>
        <w:ind w:right="0" w:rightChars="0"/>
        <w:jc w:val="center"/>
        <w:textAlignment w:val="auto"/>
        <w:rPr>
          <w:rFonts w:hint="eastAsia" w:ascii="楷体" w:hAnsi="楷体" w:eastAsia="楷体" w:cs="楷体"/>
          <w:spacing w:val="-6"/>
          <w:kern w:val="0"/>
          <w:sz w:val="32"/>
          <w:szCs w:val="32"/>
        </w:rPr>
      </w:pPr>
      <w:r>
        <w:rPr>
          <w:rFonts w:hint="eastAsia" w:ascii="仿宋_GB2312" w:hAnsi="仿宋_GB2312" w:eastAsia="仿宋_GB2312" w:cs="仿宋_GB2312"/>
          <w:spacing w:val="-6"/>
          <w:kern w:val="0"/>
          <w:sz w:val="32"/>
          <w:szCs w:val="32"/>
        </w:rPr>
        <w:t>(</w:t>
      </w:r>
      <w:bookmarkStart w:id="0" w:name="_GoBack"/>
      <w:bookmarkEnd w:id="0"/>
      <w:r>
        <w:rPr>
          <w:rFonts w:hint="eastAsia" w:ascii="仿宋_GB2312" w:hAnsi="仿宋_GB2312" w:eastAsia="仿宋_GB2312" w:cs="仿宋_GB2312"/>
          <w:spacing w:val="-6"/>
          <w:kern w:val="0"/>
          <w:sz w:val="32"/>
          <w:szCs w:val="32"/>
          <w:lang w:eastAsia="zh-CN"/>
        </w:rPr>
        <w:t>征求意见稿</w:t>
      </w:r>
      <w:r>
        <w:rPr>
          <w:rFonts w:hint="eastAsia" w:ascii="仿宋_GB2312" w:hAnsi="仿宋_GB2312" w:eastAsia="仿宋_GB2312" w:cs="仿宋_GB2312"/>
          <w:spacing w:val="-6"/>
          <w:kern w:val="0"/>
          <w:sz w:val="32"/>
          <w:szCs w:val="32"/>
        </w:rPr>
        <w:t>)</w:t>
      </w:r>
    </w:p>
    <w:p>
      <w:pPr>
        <w:pageBreakBefore w:val="0"/>
        <w:widowControl w:val="0"/>
        <w:kinsoku/>
        <w:wordWrap/>
        <w:overflowPunct/>
        <w:topLinePunct w:val="0"/>
        <w:autoSpaceDE/>
        <w:autoSpaceDN/>
        <w:bidi w:val="0"/>
        <w:adjustRightInd w:val="0"/>
        <w:snapToGrid w:val="0"/>
        <w:spacing w:line="574" w:lineRule="exact"/>
        <w:ind w:right="0" w:rightChars="0"/>
        <w:textAlignment w:val="auto"/>
        <w:rPr>
          <w:rFonts w:ascii="宋体" w:hAnsi="宋体" w:cs="宋体"/>
          <w:spacing w:val="-6"/>
          <w:kern w:val="0"/>
          <w:sz w:val="32"/>
          <w:szCs w:val="32"/>
        </w:rPr>
      </w:pP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根据住房和城乡建设部《公共租赁住房管理办法》《广东省城镇住房保障办法》（广东省人民政府令第181号）以及《中山市住房保障管理暂行办法》（中府〔2020〕96 号）等规定，结合本市实际，</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中山市住房保障准入标准及轮候规则如下：</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一、保障准入标准</w:t>
      </w:r>
    </w:p>
    <w:p>
      <w:pPr>
        <w:pageBreakBefore w:val="0"/>
        <w:widowControl w:val="0"/>
        <w:kinsoku/>
        <w:wordWrap/>
        <w:overflowPunct/>
        <w:topLinePunct w:val="0"/>
        <w:autoSpaceDE/>
        <w:autoSpaceDN/>
        <w:bidi w:val="0"/>
        <w:adjustRightInd w:val="0"/>
        <w:snapToGrid w:val="0"/>
        <w:spacing w:line="574" w:lineRule="exact"/>
        <w:ind w:right="0" w:rightChars="0" w:firstLine="619" w:firstLineChars="200"/>
        <w:textAlignment w:val="auto"/>
        <w:rPr>
          <w:rFonts w:hint="eastAsia" w:ascii="楷体" w:hAnsi="楷体" w:eastAsia="楷体" w:cs="楷体"/>
          <w:b/>
          <w:bCs/>
          <w:color w:val="auto"/>
          <w:spacing w:val="-6"/>
          <w:kern w:val="0"/>
          <w:sz w:val="32"/>
          <w:szCs w:val="32"/>
        </w:rPr>
      </w:pPr>
      <w:r>
        <w:rPr>
          <w:rFonts w:hint="eastAsia" w:ascii="楷体" w:hAnsi="楷体" w:eastAsia="楷体" w:cs="楷体"/>
          <w:b/>
          <w:bCs/>
          <w:color w:val="auto"/>
          <w:spacing w:val="-6"/>
          <w:kern w:val="0"/>
          <w:sz w:val="32"/>
          <w:szCs w:val="32"/>
        </w:rPr>
        <w:t>（一）保障对象</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kern w:val="0"/>
          <w:sz w:val="32"/>
          <w:szCs w:val="32"/>
        </w:rPr>
        <w:t>1.本市户籍的城乡低保、低收入住房困难家庭、分散供养特困人员、中等偏下收入住房困难家庭</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z w:val="32"/>
          <w:szCs w:val="32"/>
        </w:rPr>
        <w:t>2.产业园区务工人员（产业园</w:t>
      </w:r>
      <w:r>
        <w:rPr>
          <w:rFonts w:hint="eastAsia" w:ascii="仿宋_GB2312" w:hAnsi="仿宋_GB2312" w:eastAsia="仿宋_GB2312" w:cs="仿宋_GB2312"/>
          <w:color w:val="auto"/>
          <w:spacing w:val="-6"/>
          <w:kern w:val="0"/>
          <w:sz w:val="32"/>
          <w:szCs w:val="32"/>
        </w:rPr>
        <w:t>区内的本市新就业职工和外来务工人员）；</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3.特殊岗位从业人员（重点保障在本市从事公共服务领域特殊艰苦岗位的环卫工人、公交司机等行业的外来务工人员）。</w:t>
      </w:r>
    </w:p>
    <w:p>
      <w:pPr>
        <w:pageBreakBefore w:val="0"/>
        <w:widowControl w:val="0"/>
        <w:kinsoku/>
        <w:wordWrap/>
        <w:overflowPunct/>
        <w:topLinePunct w:val="0"/>
        <w:autoSpaceDE/>
        <w:autoSpaceDN/>
        <w:bidi w:val="0"/>
        <w:adjustRightInd w:val="0"/>
        <w:snapToGrid w:val="0"/>
        <w:spacing w:line="574" w:lineRule="exact"/>
        <w:ind w:right="0" w:rightChars="0" w:firstLine="619" w:firstLineChars="200"/>
        <w:textAlignment w:val="auto"/>
        <w:rPr>
          <w:rFonts w:hint="eastAsia" w:ascii="楷体" w:hAnsi="楷体" w:eastAsia="楷体" w:cs="楷体"/>
          <w:b/>
          <w:bCs/>
          <w:color w:val="auto"/>
          <w:spacing w:val="-6"/>
          <w:kern w:val="0"/>
          <w:sz w:val="32"/>
          <w:szCs w:val="32"/>
        </w:rPr>
      </w:pPr>
      <w:r>
        <w:rPr>
          <w:rFonts w:hint="eastAsia" w:ascii="楷体" w:hAnsi="楷体" w:eastAsia="楷体" w:cs="楷体"/>
          <w:b/>
          <w:bCs/>
          <w:color w:val="auto"/>
          <w:spacing w:val="-6"/>
          <w:kern w:val="0"/>
          <w:sz w:val="32"/>
          <w:szCs w:val="32"/>
        </w:rPr>
        <w:t>（二）保障方式</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1.租住非产业园区配建公租房</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2.租住产业园区配建公租房</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3.领取一般租赁补贴</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4.领取特殊岗位租房补贴</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符合条件的保障对象其保障方式只能择一申请。取得承租非产业园区的公租房租赁资格并处于轮候期间的申请人可在取得保障资格的次月起，向市住保中心申请领取租赁补贴。市住保中心根据与补贴对象签订的租赁补贴协议，按月在代理银行将租赁补贴存入补贴对象的银行账户内。</w:t>
      </w:r>
    </w:p>
    <w:p>
      <w:pPr>
        <w:pageBreakBefore w:val="0"/>
        <w:widowControl w:val="0"/>
        <w:kinsoku/>
        <w:wordWrap/>
        <w:overflowPunct/>
        <w:topLinePunct w:val="0"/>
        <w:autoSpaceDE/>
        <w:autoSpaceDN/>
        <w:bidi w:val="0"/>
        <w:adjustRightInd w:val="0"/>
        <w:snapToGrid w:val="0"/>
        <w:spacing w:line="574" w:lineRule="exact"/>
        <w:ind w:right="0" w:rightChars="0" w:firstLine="619" w:firstLineChars="200"/>
        <w:textAlignment w:val="auto"/>
        <w:rPr>
          <w:rFonts w:hint="eastAsia" w:ascii="楷体" w:hAnsi="楷体" w:eastAsia="楷体" w:cs="楷体"/>
          <w:b/>
          <w:bCs/>
          <w:color w:val="auto"/>
          <w:spacing w:val="-6"/>
          <w:kern w:val="0"/>
          <w:sz w:val="32"/>
          <w:szCs w:val="32"/>
        </w:rPr>
      </w:pPr>
      <w:r>
        <w:rPr>
          <w:rFonts w:hint="eastAsia" w:ascii="楷体" w:hAnsi="楷体" w:eastAsia="楷体" w:cs="楷体"/>
          <w:b/>
          <w:bCs/>
          <w:color w:val="auto"/>
          <w:spacing w:val="-6"/>
          <w:kern w:val="0"/>
          <w:sz w:val="32"/>
          <w:szCs w:val="32"/>
        </w:rPr>
        <w:t>（三）申请主体</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1.申请主体</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（1）租住非产业园区配建公租房的申请主体</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申请承租非产业园区公租房，原则上以家庭为单位。申请家庭应当推举1名具有完全民事行为能力的家庭成员作为申请人，具有法定的赡养、抚养、扶养关系的家庭成员作为共同申请人。具体家庭划分按以下标准执行：</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夫妻双方及未婚子女构成一个家庭；</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2</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年满60周岁有子女的人士需与子女共同申请，年满60周岁有子女的人士指年满60岁有子女没有离异的家庭，或离异但与子女共同生活的人士；</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3</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与申请人同住且存在法定赡养、抚养、扶养关系的，经村（居）委会证明，可作为家庭成员共同申请；</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4</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离异或丧偶不带子女的人士，或年满30周岁的未婚人士可单独申请。离异或丧偶不带子女人士指离异或丧偶不与子女共同生活的人士。</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（2）租住产业园区配建公租房的申请主体</w:t>
      </w:r>
    </w:p>
    <w:p>
      <w:pPr>
        <w:pageBreakBefore w:val="0"/>
        <w:widowControl w:val="0"/>
        <w:kinsoku/>
        <w:wordWrap/>
        <w:overflowPunct/>
        <w:topLinePunct w:val="0"/>
        <w:autoSpaceDE/>
        <w:autoSpaceDN/>
        <w:bidi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面向产业园区的企业。（</w:t>
      </w:r>
      <w:r>
        <w:rPr>
          <w:rFonts w:hint="eastAsia" w:ascii="仿宋_GB2312" w:hAnsi="仿宋_GB2312" w:eastAsia="仿宋_GB2312" w:cs="仿宋_GB2312"/>
          <w:color w:val="auto"/>
          <w:sz w:val="32"/>
          <w:szCs w:val="32"/>
        </w:rPr>
        <w:t>产业园区配建公租房其申请企业可结合地理条件、使用需求等因素划定一定范围，但范围划分应理由充分、条件合理。其中地理位置位于产业园区内的公租房其使用对象可为但不限于整个园区内进驻企业；地理位置位于产业园区外的公租房其使用对象选定可采取公开招取、一定半径距离范围等方式选定使用企业；其他情况各区、镇、街道根据实际予以研究确定。</w:t>
      </w:r>
      <w:r>
        <w:rPr>
          <w:rFonts w:hint="eastAsia" w:ascii="仿宋_GB2312" w:hAnsi="仿宋_GB2312" w:eastAsia="仿宋_GB2312" w:cs="仿宋_GB2312"/>
          <w:color w:val="auto"/>
          <w:spacing w:val="-6"/>
          <w:kern w:val="0"/>
          <w:sz w:val="32"/>
          <w:szCs w:val="32"/>
        </w:rPr>
        <w:t>）</w:t>
      </w:r>
    </w:p>
    <w:p>
      <w:pPr>
        <w:pageBreakBefore w:val="0"/>
        <w:widowControl w:val="0"/>
        <w:numPr>
          <w:ilvl w:val="0"/>
          <w:numId w:val="1"/>
        </w:numPr>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领取一般租赁补贴的申请主体</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已取得租住非产业园区配建公租房住房保障资格的申请人。</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（4）领取特殊岗位租房补贴的申请主体</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领取环卫、公交行业员工领取租房补贴的申请主体按《中山市环卫、公交行业员工住房保障工作方案》执行。其他特殊岗位从业人员领取特殊岗位租房补贴应的申请主体另文规定。</w:t>
      </w:r>
    </w:p>
    <w:p>
      <w:pPr>
        <w:pageBreakBefore w:val="0"/>
        <w:widowControl w:val="0"/>
        <w:kinsoku/>
        <w:wordWrap/>
        <w:overflowPunct/>
        <w:topLinePunct w:val="0"/>
        <w:autoSpaceDE/>
        <w:autoSpaceDN/>
        <w:bidi w:val="0"/>
        <w:adjustRightInd w:val="0"/>
        <w:snapToGrid w:val="0"/>
        <w:spacing w:line="574" w:lineRule="exact"/>
        <w:ind w:right="0" w:rightChars="0" w:firstLine="619" w:firstLineChars="200"/>
        <w:textAlignment w:val="auto"/>
        <w:rPr>
          <w:rFonts w:hint="eastAsia" w:ascii="楷体" w:hAnsi="楷体" w:eastAsia="楷体" w:cs="楷体"/>
          <w:b/>
          <w:bCs/>
          <w:color w:val="auto"/>
          <w:spacing w:val="-6"/>
          <w:kern w:val="0"/>
          <w:sz w:val="32"/>
          <w:szCs w:val="32"/>
        </w:rPr>
      </w:pPr>
      <w:r>
        <w:rPr>
          <w:rFonts w:hint="eastAsia" w:ascii="楷体" w:hAnsi="楷体" w:eastAsia="楷体" w:cs="楷体"/>
          <w:b/>
          <w:bCs/>
          <w:color w:val="auto"/>
          <w:spacing w:val="-6"/>
          <w:kern w:val="0"/>
          <w:sz w:val="32"/>
          <w:szCs w:val="32"/>
        </w:rPr>
        <w:t>（四）准入条件</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根据保障对象和保障方式不同，准入条件分为承租非产业园区公租房的住房保障资格、承租产业园区内公租房的住房保障资格、领取一般租赁补贴住房保障资格和特殊岗位从业人员的住房保障资格。</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1.申请承租非产业园区公租房的住房保障资格应同时符合如下条件：</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（1）申请人必须具有本市户籍，申请人及共同申请人在本市工作居住。</w:t>
      </w:r>
    </w:p>
    <w:p>
      <w:pPr>
        <w:pageBreakBefore w:val="0"/>
        <w:widowControl w:val="0"/>
        <w:kinsoku/>
        <w:wordWrap/>
        <w:overflowPunct/>
        <w:topLinePunct w:val="0"/>
        <w:autoSpaceDE/>
        <w:autoSpaceDN/>
        <w:bidi w:val="0"/>
        <w:spacing w:line="574" w:lineRule="exact"/>
        <w:ind w:right="0" w:rightChars="0" w:firstLine="616" w:firstLineChars="200"/>
        <w:jc w:val="left"/>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rPr>
        <w:t>（2）申请人及共同申请人在本市无任何形式的住宅建设用地或者自有住房或租住直管公房、所在单位福利性单身宿舍。或者虽有自有住房，但人均住房面积低于本市规定的住房保障面积标准，目前执行标准为人均住房</w:t>
      </w:r>
      <w:r>
        <w:rPr>
          <w:rFonts w:hint="eastAsia" w:ascii="仿宋_GB2312" w:hAnsi="仿宋_GB2312" w:eastAsia="仿宋_GB2312" w:cs="仿宋_GB2312"/>
          <w:color w:val="auto"/>
          <w:spacing w:val="-6"/>
          <w:kern w:val="0"/>
          <w:sz w:val="32"/>
          <w:szCs w:val="32"/>
          <w:lang w:eastAsia="zh-CN"/>
        </w:rPr>
        <w:t>建筑</w:t>
      </w:r>
      <w:r>
        <w:rPr>
          <w:rFonts w:hint="eastAsia" w:ascii="仿宋_GB2312" w:hAnsi="仿宋_GB2312" w:eastAsia="仿宋_GB2312" w:cs="仿宋_GB2312"/>
          <w:color w:val="auto"/>
          <w:spacing w:val="-6"/>
          <w:kern w:val="0"/>
          <w:sz w:val="32"/>
          <w:szCs w:val="32"/>
        </w:rPr>
        <w:t>面积低于18平方米或人均住房套内面积低于15</w:t>
      </w:r>
      <w:r>
        <w:rPr>
          <w:rFonts w:hint="eastAsia" w:ascii="仿宋_GB2312" w:hAnsi="仿宋_GB2312" w:eastAsia="仿宋_GB2312" w:cs="仿宋_GB2312"/>
          <w:color w:val="auto"/>
          <w:sz w:val="32"/>
          <w:szCs w:val="32"/>
        </w:rPr>
        <w:t>平方米，如有调整按新标准执行。</w:t>
      </w:r>
      <w:r>
        <w:rPr>
          <w:rFonts w:hint="eastAsia" w:ascii="仿宋_GB2312" w:hAnsi="仿宋_GB2312" w:eastAsia="仿宋_GB2312" w:cs="仿宋_GB2312"/>
          <w:color w:val="auto"/>
          <w:sz w:val="32"/>
          <w:szCs w:val="32"/>
          <w:lang w:eastAsia="zh-CN"/>
        </w:rPr>
        <w:t>有房但鉴定为</w:t>
      </w:r>
      <w:r>
        <w:rPr>
          <w:rFonts w:hint="eastAsia" w:ascii="仿宋_GB2312" w:hAnsi="仿宋_GB2312" w:eastAsia="仿宋_GB2312" w:cs="仿宋_GB2312"/>
          <w:color w:val="auto"/>
          <w:sz w:val="32"/>
          <w:szCs w:val="32"/>
          <w:lang w:val="en-US" w:eastAsia="zh-CN"/>
        </w:rPr>
        <w:t>C级或D级危房的视为无房。（以房管部门的备案为准）</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（3）</w:t>
      </w:r>
      <w:r>
        <w:rPr>
          <w:rFonts w:hint="eastAsia" w:ascii="仿宋_GB2312" w:hAnsi="仿宋_GB2312" w:eastAsia="仿宋_GB2312" w:cs="仿宋_GB2312"/>
          <w:color w:val="auto"/>
          <w:spacing w:val="-6"/>
          <w:kern w:val="0"/>
          <w:sz w:val="32"/>
          <w:szCs w:val="32"/>
          <w:lang w:eastAsia="zh-CN"/>
        </w:rPr>
        <w:t>申请人及共同申请人的父母或子女在本市持有房产情况低于本市规定的标准。</w:t>
      </w:r>
    </w:p>
    <w:p>
      <w:pPr>
        <w:pStyle w:val="2"/>
        <w:pageBreakBefore w:val="0"/>
        <w:widowControl w:val="0"/>
        <w:kinsoku/>
        <w:wordWrap/>
        <w:overflowPunct/>
        <w:topLinePunct w:val="0"/>
        <w:autoSpaceDE/>
        <w:autoSpaceDN/>
        <w:bidi w:val="0"/>
        <w:spacing w:before="0" w:after="0" w:line="574" w:lineRule="exact"/>
        <w:ind w:right="0" w:rightChars="0" w:firstLine="593"/>
        <w:textAlignment w:val="auto"/>
        <w:rPr>
          <w:rFonts w:hint="eastAsia" w:ascii="仿宋_GB2312" w:hAnsi="仿宋_GB2312" w:eastAsia="仿宋_GB2312" w:cs="仿宋_GB2312"/>
          <w:b w:val="0"/>
          <w:bCs w:val="0"/>
          <w:color w:val="auto"/>
          <w:spacing w:val="-6"/>
          <w:kern w:val="0"/>
          <w:sz w:val="32"/>
          <w:szCs w:val="32"/>
          <w:lang w:val="en-US" w:eastAsia="zh-CN"/>
        </w:rPr>
      </w:pPr>
      <w:r>
        <w:rPr>
          <w:rFonts w:hint="eastAsia" w:ascii="仿宋_GB2312" w:hAnsi="仿宋_GB2312" w:eastAsia="仿宋_GB2312" w:cs="仿宋_GB2312"/>
          <w:b w:val="0"/>
          <w:bCs w:val="0"/>
          <w:color w:val="auto"/>
          <w:spacing w:val="-6"/>
          <w:kern w:val="0"/>
          <w:sz w:val="32"/>
          <w:szCs w:val="32"/>
          <w:lang w:val="en-US" w:eastAsia="zh-CN"/>
        </w:rPr>
        <w:t>申请人及共同申请人组成的家庭其人员结构为三代或三代以上的，只考虑申请人及共同申请人的房产情况。</w:t>
      </w:r>
    </w:p>
    <w:p>
      <w:pPr>
        <w:pStyle w:val="2"/>
        <w:pageBreakBefore w:val="0"/>
        <w:widowControl w:val="0"/>
        <w:kinsoku/>
        <w:wordWrap/>
        <w:overflowPunct/>
        <w:topLinePunct w:val="0"/>
        <w:autoSpaceDE/>
        <w:autoSpaceDN/>
        <w:bidi w:val="0"/>
        <w:spacing w:before="0" w:after="0" w:line="574" w:lineRule="exact"/>
        <w:ind w:right="0" w:rightChars="0" w:firstLine="593"/>
        <w:textAlignment w:val="auto"/>
        <w:rPr>
          <w:rFonts w:hint="eastAsia" w:ascii="仿宋_GB2312" w:hAnsi="仿宋_GB2312" w:eastAsia="仿宋_GB2312" w:cs="仿宋_GB2312"/>
          <w:b w:val="0"/>
          <w:bCs w:val="0"/>
          <w:color w:val="auto"/>
          <w:spacing w:val="-6"/>
          <w:kern w:val="0"/>
          <w:sz w:val="32"/>
          <w:szCs w:val="32"/>
          <w:lang w:val="en-US" w:eastAsia="zh-CN"/>
        </w:rPr>
      </w:pPr>
      <w:r>
        <w:rPr>
          <w:rFonts w:hint="eastAsia" w:ascii="仿宋_GB2312" w:hAnsi="仿宋_GB2312" w:eastAsia="仿宋_GB2312" w:cs="仿宋_GB2312"/>
          <w:b w:val="0"/>
          <w:bCs w:val="0"/>
          <w:color w:val="auto"/>
          <w:spacing w:val="-6"/>
          <w:kern w:val="0"/>
          <w:sz w:val="32"/>
          <w:szCs w:val="32"/>
          <w:lang w:val="en-US" w:eastAsia="zh-CN"/>
        </w:rPr>
        <w:t>申请人及共同申请人组成的家庭其人员结构为两代及两代以下的，应根据年轻一代是否有成年子女情况核查房产。如果年轻一代有成年子女，则应考察所有成年子女的房产情况。申请人及共同申请人在本市持有的房产套数＋每个子女在本市持有的房产套数之和≥1＋成年子女总数则视为高</w:t>
      </w:r>
      <w:r>
        <w:rPr>
          <w:rFonts w:hint="eastAsia" w:ascii="仿宋_GB2312" w:hAnsi="仿宋_GB2312" w:eastAsia="仿宋_GB2312" w:cs="仿宋_GB2312"/>
          <w:b w:val="0"/>
          <w:bCs w:val="0"/>
          <w:color w:val="auto"/>
          <w:spacing w:val="-6"/>
          <w:kern w:val="0"/>
          <w:sz w:val="32"/>
          <w:szCs w:val="32"/>
          <w:lang w:eastAsia="zh-CN"/>
        </w:rPr>
        <w:t>于本市规定的标准</w:t>
      </w:r>
      <w:r>
        <w:rPr>
          <w:rFonts w:hint="eastAsia" w:ascii="仿宋_GB2312" w:hAnsi="仿宋_GB2312" w:eastAsia="仿宋_GB2312" w:cs="仿宋_GB2312"/>
          <w:b w:val="0"/>
          <w:bCs w:val="0"/>
          <w:color w:val="auto"/>
          <w:spacing w:val="-6"/>
          <w:kern w:val="0"/>
          <w:sz w:val="32"/>
          <w:szCs w:val="32"/>
          <w:lang w:val="en-US" w:eastAsia="zh-CN"/>
        </w:rPr>
        <w:t>。如果年轻一代无成年子女，则考察年老一代的父母房产情况。夫妻双方父母</w:t>
      </w:r>
      <w:r>
        <w:rPr>
          <w:rFonts w:hint="eastAsia" w:ascii="仿宋_GB2312" w:hAnsi="仿宋_GB2312" w:eastAsia="仿宋_GB2312" w:cs="仿宋_GB2312"/>
          <w:b w:val="0"/>
          <w:bCs w:val="0"/>
          <w:color w:val="auto"/>
          <w:spacing w:val="-6"/>
          <w:kern w:val="0"/>
          <w:sz w:val="32"/>
          <w:szCs w:val="32"/>
          <w:lang w:val="en-US" w:eastAsia="zh-CN" w:bidi="ar-SA"/>
        </w:rPr>
        <w:t>在本市持有房产总套数＞</w:t>
      </w:r>
      <w:r>
        <w:rPr>
          <w:rFonts w:hint="eastAsia" w:ascii="仿宋_GB2312" w:hAnsi="仿宋_GB2312" w:eastAsia="仿宋_GB2312" w:cs="仿宋_GB2312"/>
          <w:b w:val="0"/>
          <w:bCs w:val="0"/>
          <w:color w:val="auto"/>
          <w:spacing w:val="-6"/>
          <w:kern w:val="0"/>
          <w:sz w:val="32"/>
          <w:szCs w:val="32"/>
          <w:lang w:val="en-US" w:eastAsia="zh-CN"/>
        </w:rPr>
        <w:t>夫妻双方父母家庭数</w:t>
      </w:r>
      <w:r>
        <w:rPr>
          <w:rFonts w:hint="eastAsia" w:ascii="仿宋_GB2312" w:hAnsi="仿宋_GB2312" w:eastAsia="仿宋_GB2312" w:cs="仿宋_GB2312"/>
          <w:b w:val="0"/>
          <w:bCs w:val="0"/>
          <w:color w:val="auto"/>
          <w:spacing w:val="-6"/>
          <w:kern w:val="0"/>
          <w:sz w:val="32"/>
          <w:szCs w:val="32"/>
          <w:lang w:val="en-US" w:eastAsia="zh-CN" w:bidi="ar-SA"/>
        </w:rPr>
        <w:t>，</w:t>
      </w:r>
      <w:r>
        <w:rPr>
          <w:rFonts w:hint="eastAsia" w:ascii="仿宋_GB2312" w:hAnsi="仿宋_GB2312" w:eastAsia="仿宋_GB2312" w:cs="仿宋_GB2312"/>
          <w:b w:val="0"/>
          <w:bCs w:val="0"/>
          <w:color w:val="auto"/>
          <w:spacing w:val="-6"/>
          <w:kern w:val="0"/>
          <w:sz w:val="32"/>
          <w:szCs w:val="32"/>
          <w:lang w:val="en-US" w:eastAsia="zh-CN"/>
        </w:rPr>
        <w:t>视为高</w:t>
      </w:r>
      <w:r>
        <w:rPr>
          <w:rFonts w:hint="eastAsia" w:ascii="仿宋_GB2312" w:hAnsi="仿宋_GB2312" w:eastAsia="仿宋_GB2312" w:cs="仿宋_GB2312"/>
          <w:b w:val="0"/>
          <w:bCs w:val="0"/>
          <w:color w:val="auto"/>
          <w:spacing w:val="-6"/>
          <w:kern w:val="0"/>
          <w:sz w:val="32"/>
          <w:szCs w:val="32"/>
          <w:lang w:eastAsia="zh-CN"/>
        </w:rPr>
        <w:t>于本市规定的标准</w:t>
      </w:r>
      <w:r>
        <w:rPr>
          <w:rFonts w:hint="eastAsia" w:ascii="仿宋_GB2312" w:hAnsi="仿宋_GB2312" w:eastAsia="仿宋_GB2312" w:cs="仿宋_GB2312"/>
          <w:b w:val="0"/>
          <w:bCs w:val="0"/>
          <w:color w:val="auto"/>
          <w:spacing w:val="-6"/>
          <w:kern w:val="0"/>
          <w:sz w:val="32"/>
          <w:szCs w:val="32"/>
          <w:lang w:val="en-US" w:eastAsia="zh-CN" w:bidi="ar-SA"/>
        </w:rPr>
        <w:t>。</w:t>
      </w:r>
    </w:p>
    <w:p>
      <w:pPr>
        <w:pStyle w:val="2"/>
        <w:pageBreakBefore w:val="0"/>
        <w:widowControl w:val="0"/>
        <w:kinsoku/>
        <w:wordWrap/>
        <w:overflowPunct/>
        <w:topLinePunct w:val="0"/>
        <w:autoSpaceDE/>
        <w:autoSpaceDN/>
        <w:bidi w:val="0"/>
        <w:spacing w:before="0" w:after="0" w:line="574" w:lineRule="exact"/>
        <w:ind w:right="0" w:rightChars="0" w:firstLine="616" w:firstLineChars="200"/>
        <w:textAlignment w:val="auto"/>
        <w:rPr>
          <w:rFonts w:hint="eastAsia" w:ascii="仿宋_GB2312" w:hAnsi="仿宋_GB2312" w:eastAsia="仿宋_GB2312" w:cs="仿宋_GB2312"/>
          <w:color w:val="auto"/>
          <w:spacing w:val="-6"/>
          <w:kern w:val="0"/>
        </w:rPr>
      </w:pPr>
      <w:r>
        <w:rPr>
          <w:rFonts w:hint="eastAsia" w:ascii="仿宋_GB2312" w:hAnsi="仿宋_GB2312" w:eastAsia="仿宋_GB2312" w:cs="仿宋_GB2312"/>
          <w:b w:val="0"/>
          <w:bCs w:val="0"/>
          <w:color w:val="auto"/>
          <w:spacing w:val="-6"/>
          <w:kern w:val="0"/>
        </w:rPr>
        <w:t>（4）申请人家庭上年度人均可支配收入在统计部门公布上年度本市城镇可支配收入的70%以下，关于城镇可支配收入的70%的具体金额和执行时间以中山市住房委员会最近一次公告为准。</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（5）申请人家庭人均资产低于7万元且家庭资产总额低于28万元。</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（6）申请人及共同申请人名下均无机动车辆，作为唯一谋生工具的经营性车辆、残疾人功能性补偿代步、小型农用车辆、燃油摩托车、电瓶车除外。</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7）申请人及共同申请人名下无商事登记信息，申请家庭成员名下查询到商事登记信息，属于无雇员的夫妻小作坊、小卖部（专营高档烟酒和奢饰品的除外），以及属建档立卡贫困户统一参加当地合作社、集体所有制公司等经济组织的，可申请复核，经工作人员调查核实后，视为无商事登记。</w:t>
      </w:r>
    </w:p>
    <w:p>
      <w:pPr>
        <w:pageBreakBefore w:val="0"/>
        <w:widowControl w:val="0"/>
        <w:numPr>
          <w:ilvl w:val="0"/>
          <w:numId w:val="2"/>
        </w:numPr>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申请人及共同申请人提出申请时未享受本市各种住房优惠政策或住房保障政策。</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pacing w:val="-6"/>
          <w:kern w:val="0"/>
          <w:sz w:val="32"/>
          <w:szCs w:val="32"/>
        </w:rPr>
        <w:t>申请承租产业园区内公租房的住房保障资格应同时符合如下条件：</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（1）产业园区内的属于本市新就业职工和外来务工人员；</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（2）申请人在本市无自有住房；</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（3）申请人提出申请时未享受本市各种住房优惠政策和住房保障政策。</w:t>
      </w:r>
    </w:p>
    <w:p>
      <w:pPr>
        <w:pageBreakBefore w:val="0"/>
        <w:widowControl w:val="0"/>
        <w:kinsoku/>
        <w:wordWrap/>
        <w:overflowPunct/>
        <w:topLinePunct w:val="0"/>
        <w:autoSpaceDE/>
        <w:autoSpaceDN/>
        <w:bidi w:val="0"/>
        <w:spacing w:line="574" w:lineRule="exact"/>
        <w:ind w:right="0" w:rightChars="0" w:firstLine="616" w:firstLineChars="200"/>
        <w:jc w:val="left"/>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3.领取一般租赁补贴应同时符合如下条件：</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（1）获得租住非产业园区配建公租房的资格</w:t>
      </w:r>
      <w:r>
        <w:rPr>
          <w:rFonts w:hint="eastAsia" w:ascii="仿宋_GB2312" w:hAnsi="仿宋_GB2312" w:eastAsia="仿宋_GB2312" w:cs="仿宋_GB2312"/>
          <w:color w:val="auto"/>
          <w:spacing w:val="-6"/>
          <w:kern w:val="0"/>
          <w:sz w:val="32"/>
          <w:szCs w:val="32"/>
          <w:lang w:eastAsia="zh-CN"/>
        </w:rPr>
        <w:t>，且未办理公租房入住手续；</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（2）申请家庭与房屋产权人或其委托人签订租赁合同</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4.领取环卫、公交行业员工领取租房补贴应符合的条件按《中山市环卫、公交行业员工住房保障工作方案》执行。其他特殊岗位从业人员领取特殊岗位租房补贴应符合的条件另文规定。</w:t>
      </w:r>
    </w:p>
    <w:p>
      <w:pPr>
        <w:pageBreakBefore w:val="0"/>
        <w:widowControl w:val="0"/>
        <w:kinsoku/>
        <w:wordWrap/>
        <w:overflowPunct/>
        <w:topLinePunct w:val="0"/>
        <w:autoSpaceDE/>
        <w:autoSpaceDN/>
        <w:bidi w:val="0"/>
        <w:adjustRightInd w:val="0"/>
        <w:snapToGrid w:val="0"/>
        <w:spacing w:line="574" w:lineRule="exact"/>
        <w:ind w:right="0" w:rightChars="0" w:firstLine="619" w:firstLineChars="200"/>
        <w:textAlignment w:val="auto"/>
        <w:rPr>
          <w:rFonts w:hint="eastAsia" w:ascii="楷体" w:hAnsi="楷体" w:eastAsia="楷体" w:cs="楷体"/>
          <w:b/>
          <w:bCs/>
          <w:color w:val="auto"/>
          <w:spacing w:val="-6"/>
          <w:kern w:val="0"/>
          <w:sz w:val="32"/>
          <w:szCs w:val="32"/>
        </w:rPr>
      </w:pPr>
      <w:r>
        <w:rPr>
          <w:rFonts w:hint="eastAsia" w:ascii="楷体" w:hAnsi="楷体" w:eastAsia="楷体" w:cs="楷体"/>
          <w:b/>
          <w:bCs/>
          <w:color w:val="auto"/>
          <w:spacing w:val="-6"/>
          <w:kern w:val="0"/>
          <w:sz w:val="32"/>
          <w:szCs w:val="32"/>
        </w:rPr>
        <w:t>（五）申请承租公租房所需递交的资料清单</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1.申请承租非产业园区公租房需</w:t>
      </w:r>
      <w:r>
        <w:rPr>
          <w:rFonts w:hint="eastAsia" w:ascii="仿宋_GB2312" w:hAnsi="仿宋_GB2312" w:eastAsia="仿宋_GB2312" w:cs="仿宋_GB2312"/>
          <w:color w:val="auto"/>
          <w:spacing w:val="-6"/>
          <w:kern w:val="0"/>
          <w:sz w:val="32"/>
          <w:szCs w:val="32"/>
          <w:lang w:eastAsia="zh-CN"/>
        </w:rPr>
        <w:t>提</w:t>
      </w:r>
      <w:r>
        <w:rPr>
          <w:rFonts w:hint="eastAsia" w:ascii="仿宋_GB2312" w:hAnsi="仿宋_GB2312" w:eastAsia="仿宋_GB2312" w:cs="仿宋_GB2312"/>
          <w:color w:val="auto"/>
          <w:spacing w:val="-6"/>
          <w:kern w:val="0"/>
          <w:sz w:val="32"/>
          <w:szCs w:val="32"/>
        </w:rPr>
        <w:t>交的资料清单</w:t>
      </w:r>
      <w:r>
        <w:rPr>
          <w:rFonts w:hint="eastAsia" w:ascii="仿宋_GB2312" w:hAnsi="仿宋_GB2312" w:eastAsia="仿宋_GB2312" w:cs="仿宋_GB2312"/>
          <w:color w:val="auto"/>
          <w:spacing w:val="-6"/>
          <w:kern w:val="0"/>
          <w:sz w:val="32"/>
          <w:szCs w:val="32"/>
          <w:lang w:eastAsia="zh-CN"/>
        </w:rPr>
        <w:t>：</w:t>
      </w:r>
    </w:p>
    <w:p>
      <w:pPr>
        <w:pageBreakBefore w:val="0"/>
        <w:widowControl w:val="0"/>
        <w:numPr>
          <w:ilvl w:val="0"/>
          <w:numId w:val="0"/>
        </w:numPr>
        <w:kinsoku/>
        <w:wordWrap/>
        <w:overflowPunct/>
        <w:topLinePunct w:val="0"/>
        <w:autoSpaceDE/>
        <w:autoSpaceDN/>
        <w:bidi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val="en-US"/>
        </w:rPr>
      </w:pP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lang w:val="en-US" w:eastAsia="zh-CN"/>
        </w:rPr>
        <w:t>1）</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lang w:val="en-US" w:eastAsia="zh-CN"/>
        </w:rPr>
        <w:t>中山市住房保障申请表》；</w:t>
      </w:r>
      <w:r>
        <w:rPr>
          <w:rFonts w:hint="eastAsia" w:ascii="仿宋_GB2312" w:hAnsi="仿宋_GB2312" w:eastAsia="仿宋_GB2312" w:cs="仿宋_GB2312"/>
          <w:color w:val="auto"/>
          <w:sz w:val="32"/>
          <w:szCs w:val="32"/>
          <w:lang w:val="en-US" w:eastAsia="zh-CN"/>
        </w:rPr>
        <w:t>《个人资产信息查询授权书》；《家庭资产申报情况承诺书》。</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val="en-US"/>
        </w:rPr>
      </w:pPr>
      <w:r>
        <w:rPr>
          <w:rFonts w:hint="eastAsia" w:ascii="仿宋_GB2312" w:hAnsi="仿宋_GB2312" w:eastAsia="仿宋_GB2312" w:cs="仿宋_GB2312"/>
          <w:color w:val="auto"/>
          <w:spacing w:val="-6"/>
          <w:kern w:val="0"/>
          <w:sz w:val="32"/>
          <w:szCs w:val="32"/>
          <w:lang w:val="en-US" w:eastAsia="zh-CN"/>
        </w:rPr>
        <w:t>（2）身份证明材料：</w:t>
      </w:r>
      <w:r>
        <w:rPr>
          <w:rFonts w:hint="eastAsia" w:ascii="仿宋_GB2312" w:hAnsi="仿宋_GB2312" w:eastAsia="仿宋_GB2312" w:cs="仿宋_GB2312"/>
          <w:color w:val="auto"/>
          <w:sz w:val="32"/>
          <w:szCs w:val="32"/>
          <w:lang w:val="en-US" w:eastAsia="zh-CN"/>
        </w:rPr>
        <w:t>申请人及共同申请人的身份证复印件；如未有身份证的未成年共同申请人需要提供出生证明。</w:t>
      </w:r>
    </w:p>
    <w:p>
      <w:pPr>
        <w:pageBreakBefore w:val="0"/>
        <w:widowControl w:val="0"/>
        <w:numPr>
          <w:ilvl w:val="0"/>
          <w:numId w:val="0"/>
        </w:numPr>
        <w:kinsoku/>
        <w:wordWrap/>
        <w:overflowPunct/>
        <w:topLinePunct w:val="0"/>
        <w:autoSpaceDE/>
        <w:autoSpaceDN/>
        <w:bidi w:val="0"/>
        <w:spacing w:line="574" w:lineRule="exact"/>
        <w:ind w:left="0" w:leftChars="0" w:right="0" w:rightChars="0" w:firstLine="616" w:firstLineChars="200"/>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US" w:eastAsia="zh-CN"/>
        </w:rPr>
        <w:t>（3）家庭收入情况证明材料（可容缺受理，但在初审合格前需提交）。</w:t>
      </w:r>
    </w:p>
    <w:p>
      <w:pPr>
        <w:pageBreakBefore w:val="0"/>
        <w:widowControl w:val="0"/>
        <w:numPr>
          <w:ilvl w:val="0"/>
          <w:numId w:val="0"/>
        </w:numPr>
        <w:kinsoku/>
        <w:wordWrap/>
        <w:overflowPunct/>
        <w:topLinePunct w:val="0"/>
        <w:autoSpaceDE/>
        <w:autoSpaceDN/>
        <w:bidi w:val="0"/>
        <w:spacing w:line="574" w:lineRule="exact"/>
        <w:ind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（4）家庭住房状况证明材料：城区居民需要提交房产证明、租房合同；村镇居民除上述证明外，还需要提供由村（居）委会出具的《宅基地分配情况证明》；如已购房但未取得产权证明的需要如实申报。</w:t>
      </w:r>
    </w:p>
    <w:p>
      <w:pPr>
        <w:pageBreakBefore w:val="0"/>
        <w:widowControl w:val="0"/>
        <w:numPr>
          <w:ilvl w:val="0"/>
          <w:numId w:val="0"/>
        </w:numPr>
        <w:kinsoku/>
        <w:wordWrap/>
        <w:overflowPunct/>
        <w:topLinePunct w:val="0"/>
        <w:autoSpaceDE/>
        <w:autoSpaceDN/>
        <w:bidi w:val="0"/>
        <w:spacing w:line="574" w:lineRule="exact"/>
        <w:ind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家庭资产证明：存折、股票、证券、基金、保险等证明；有缴纳公积金的需要提供公积金明细（含公积金余额）；机动车购车发票（或价值评估报告）及填报《用车说明情况表》；房地产或土地的市场价值评估报告；如名下有属C、D级危房需要提交相关鉴定报告。</w:t>
      </w:r>
    </w:p>
    <w:p>
      <w:pPr>
        <w:pageBreakBefore w:val="0"/>
        <w:widowControl w:val="0"/>
        <w:numPr>
          <w:ilvl w:val="0"/>
          <w:numId w:val="0"/>
        </w:numPr>
        <w:kinsoku/>
        <w:wordWrap/>
        <w:overflowPunct/>
        <w:topLinePunct w:val="0"/>
        <w:autoSpaceDE/>
        <w:autoSpaceDN/>
        <w:bidi w:val="0"/>
        <w:spacing w:line="574" w:lineRule="exact"/>
        <w:ind w:leftChars="0" w:right="0" w:rightChars="0"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（6）其他情况：特殊人群可享受优先轮候的需递交相关部门核发的证明材料；离异的需提交离婚协议书或离婚判决书。</w:t>
      </w:r>
    </w:p>
    <w:p>
      <w:pPr>
        <w:pageBreakBefore w:val="0"/>
        <w:widowControl w:val="0"/>
        <w:numPr>
          <w:ilvl w:val="0"/>
          <w:numId w:val="0"/>
        </w:numPr>
        <w:kinsoku/>
        <w:wordWrap/>
        <w:overflowPunct/>
        <w:topLinePunct w:val="0"/>
        <w:autoSpaceDE/>
        <w:autoSpaceDN/>
        <w:bidi w:val="0"/>
        <w:spacing w:line="574" w:lineRule="exact"/>
        <w:ind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（7）根据申请家庭提交资料无法核定情况的，按实际需要补交相关证明材料。</w:t>
      </w:r>
    </w:p>
    <w:p>
      <w:pPr>
        <w:pageBreakBefore w:val="0"/>
        <w:widowControl w:val="0"/>
        <w:numPr>
          <w:ilvl w:val="0"/>
          <w:numId w:val="0"/>
        </w:numPr>
        <w:kinsoku/>
        <w:wordWrap/>
        <w:overflowPunct/>
        <w:topLinePunct w:val="0"/>
        <w:autoSpaceDE/>
        <w:autoSpaceDN/>
        <w:bidi w:val="0"/>
        <w:spacing w:line="574" w:lineRule="exact"/>
        <w:ind w:left="0" w:leftChars="0" w:right="0" w:rightChars="0" w:firstLine="616"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pacing w:val="-6"/>
          <w:kern w:val="0"/>
          <w:sz w:val="32"/>
          <w:szCs w:val="32"/>
          <w:lang w:val="en-US" w:eastAsia="zh-CN"/>
        </w:rPr>
        <w:t>提示：家庭收入情况证明材料由民政部门审核出具。一般由申请人向民政部门提出申请，申请材料亦可由住建部门代收，但受理时间以民政部门批复返回时间为准。其一般材料为（实际递交材料以民政部门要求为准）：</w:t>
      </w:r>
      <w:r>
        <w:rPr>
          <w:rFonts w:hint="eastAsia" w:ascii="仿宋_GB2312" w:hAnsi="仿宋_GB2312" w:eastAsia="仿宋_GB2312" w:cs="仿宋_GB2312"/>
          <w:color w:val="auto"/>
          <w:sz w:val="32"/>
          <w:szCs w:val="32"/>
          <w:lang w:val="en-US" w:eastAsia="zh-CN"/>
        </w:rPr>
        <w:t>在职人士由单位加盖公章的《收入情况证明》及收入流水；个人收入证明自行申报并填写《收入情况证明》及收入流水；下岗及待业人员提供下岗待业证、领取失业救济金或由街道居委会出具的相关证明；个体工商户出具营业执照及所得税及相关税务缴交凭证；个人参保证明；若有缴纳公积金需提交本地公积金缴纳证明；退休人士出具退休金存折明细；村镇居民由村（居）委会出具《分红情况说明》。个税证明，如收入未达起征标准无法开具的填写《个税声明书》。年满16岁以上学生提交在校证明或学生证。</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2.申请承租产业园区配建公租房需提交的资料清单：</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（1）中山市住房保障审批表（企业）；</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（2）中山市住房保障人员汇总表（企业）；</w:t>
      </w:r>
    </w:p>
    <w:p>
      <w:pPr>
        <w:pageBreakBefore w:val="0"/>
        <w:widowControl w:val="0"/>
        <w:kinsoku/>
        <w:wordWrap/>
        <w:overflowPunct/>
        <w:topLinePunct w:val="0"/>
        <w:autoSpaceDE/>
        <w:autoSpaceDN/>
        <w:bidi w:val="0"/>
        <w:adjustRightInd w:val="0"/>
        <w:snapToGrid w:val="0"/>
        <w:spacing w:line="574" w:lineRule="exact"/>
        <w:ind w:right="0" w:rightChars="0" w:firstLine="45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rPr>
        <w:t xml:space="preserve"> </w:t>
      </w:r>
      <w:r>
        <w:rPr>
          <w:rFonts w:hint="eastAsia" w:ascii="仿宋_GB2312" w:hAnsi="仿宋_GB2312" w:eastAsia="仿宋_GB2312" w:cs="仿宋_GB2312"/>
          <w:color w:val="auto"/>
          <w:spacing w:val="-6"/>
          <w:kern w:val="0"/>
          <w:sz w:val="32"/>
          <w:szCs w:val="32"/>
        </w:rPr>
        <w:t>（3）中山市住房保障申请个人信息表（个人）；</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（4）中山市住房保障申请承诺书（个人）</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（5）个人身份证复印件</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3.</w:t>
      </w:r>
      <w:r>
        <w:rPr>
          <w:rFonts w:hint="eastAsia" w:ascii="仿宋_GB2312" w:hAnsi="仿宋_GB2312" w:eastAsia="仿宋_GB2312" w:cs="仿宋_GB2312"/>
          <w:color w:val="auto"/>
          <w:spacing w:val="-6"/>
          <w:kern w:val="0"/>
          <w:sz w:val="32"/>
          <w:szCs w:val="32"/>
          <w:lang w:eastAsia="zh-CN"/>
        </w:rPr>
        <w:t>已获得租住非产业园区配建公租房资格，</w:t>
      </w:r>
      <w:r>
        <w:rPr>
          <w:rFonts w:hint="eastAsia" w:ascii="仿宋_GB2312" w:hAnsi="仿宋_GB2312" w:eastAsia="仿宋_GB2312" w:cs="仿宋_GB2312"/>
          <w:color w:val="auto"/>
          <w:spacing w:val="-6"/>
          <w:kern w:val="0"/>
          <w:sz w:val="32"/>
          <w:szCs w:val="32"/>
        </w:rPr>
        <w:t>申请领取一般租赁补贴需</w:t>
      </w:r>
      <w:r>
        <w:rPr>
          <w:rFonts w:hint="eastAsia" w:ascii="仿宋_GB2312" w:hAnsi="仿宋_GB2312" w:eastAsia="仿宋_GB2312" w:cs="仿宋_GB2312"/>
          <w:color w:val="auto"/>
          <w:spacing w:val="-6"/>
          <w:kern w:val="0"/>
          <w:sz w:val="32"/>
          <w:szCs w:val="32"/>
          <w:lang w:eastAsia="zh-CN"/>
        </w:rPr>
        <w:t>提</w:t>
      </w:r>
      <w:r>
        <w:rPr>
          <w:rFonts w:hint="eastAsia" w:ascii="仿宋_GB2312" w:hAnsi="仿宋_GB2312" w:eastAsia="仿宋_GB2312" w:cs="仿宋_GB2312"/>
          <w:color w:val="auto"/>
          <w:spacing w:val="-6"/>
          <w:kern w:val="0"/>
          <w:sz w:val="32"/>
          <w:szCs w:val="32"/>
        </w:rPr>
        <w:t>交的资料清单</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（1）租赁合同</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lang w:val="en-US" w:eastAsia="zh-CN"/>
        </w:rPr>
        <w:t>2</w:t>
      </w:r>
      <w:r>
        <w:rPr>
          <w:rFonts w:hint="eastAsia" w:ascii="仿宋_GB2312" w:hAnsi="仿宋_GB2312" w:eastAsia="仿宋_GB2312" w:cs="仿宋_GB2312"/>
          <w:color w:val="auto"/>
          <w:spacing w:val="-6"/>
          <w:kern w:val="0"/>
          <w:sz w:val="32"/>
          <w:szCs w:val="32"/>
        </w:rPr>
        <w:t>）租赁房屋权属证明</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val="en-US" w:eastAsia="zh-CN"/>
        </w:rPr>
      </w:pPr>
      <w:r>
        <w:rPr>
          <w:rFonts w:hint="eastAsia" w:ascii="仿宋_GB2312" w:hAnsi="仿宋_GB2312" w:eastAsia="仿宋_GB2312" w:cs="仿宋_GB2312"/>
          <w:color w:val="auto"/>
          <w:spacing w:val="-6"/>
          <w:kern w:val="0"/>
          <w:sz w:val="32"/>
          <w:szCs w:val="32"/>
          <w:lang w:val="en-US" w:eastAsia="zh-CN"/>
        </w:rPr>
        <w:t>（3）</w:t>
      </w:r>
      <w:r>
        <w:rPr>
          <w:rFonts w:hint="eastAsia" w:ascii="仿宋_GB2312" w:hAnsi="仿宋_GB2312" w:eastAsia="仿宋_GB2312" w:cs="仿宋_GB2312"/>
          <w:color w:val="auto"/>
          <w:spacing w:val="-6"/>
          <w:kern w:val="0"/>
          <w:sz w:val="32"/>
          <w:szCs w:val="32"/>
        </w:rPr>
        <w:t>《住房保障资格核准通知书》</w:t>
      </w:r>
      <w:r>
        <w:rPr>
          <w:rFonts w:hint="eastAsia" w:ascii="仿宋_GB2312" w:hAnsi="仿宋_GB2312" w:eastAsia="仿宋_GB2312" w:cs="仿宋_GB2312"/>
          <w:color w:val="auto"/>
          <w:spacing w:val="-6"/>
          <w:kern w:val="0"/>
          <w:sz w:val="32"/>
          <w:szCs w:val="32"/>
          <w:lang w:val="en-US"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4.申请领取特殊岗位租房补贴需</w:t>
      </w:r>
      <w:r>
        <w:rPr>
          <w:rFonts w:hint="eastAsia" w:ascii="仿宋_GB2312" w:hAnsi="仿宋_GB2312" w:eastAsia="仿宋_GB2312" w:cs="仿宋_GB2312"/>
          <w:color w:val="auto"/>
          <w:spacing w:val="-6"/>
          <w:kern w:val="0"/>
          <w:sz w:val="32"/>
          <w:szCs w:val="32"/>
          <w:lang w:eastAsia="zh-CN"/>
        </w:rPr>
        <w:t>提</w:t>
      </w:r>
      <w:r>
        <w:rPr>
          <w:rFonts w:hint="eastAsia" w:ascii="仿宋_GB2312" w:hAnsi="仿宋_GB2312" w:eastAsia="仿宋_GB2312" w:cs="仿宋_GB2312"/>
          <w:color w:val="auto"/>
          <w:spacing w:val="-6"/>
          <w:kern w:val="0"/>
          <w:sz w:val="32"/>
          <w:szCs w:val="32"/>
        </w:rPr>
        <w:t>交的资料清单</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领取环卫、公交行业员工领取租房补贴的资料清单按《中山市环卫、公交行业员工住房保障工作方案》执行。</w:t>
      </w:r>
    </w:p>
    <w:p>
      <w:pPr>
        <w:pageBreakBefore w:val="0"/>
        <w:widowControl w:val="0"/>
        <w:kinsoku/>
        <w:wordWrap/>
        <w:overflowPunct/>
        <w:topLinePunct w:val="0"/>
        <w:autoSpaceDE/>
        <w:autoSpaceDN/>
        <w:bidi w:val="0"/>
        <w:adjustRightInd w:val="0"/>
        <w:snapToGrid w:val="0"/>
        <w:spacing w:line="574" w:lineRule="exact"/>
        <w:ind w:right="0" w:rightChars="0" w:firstLine="619" w:firstLineChars="200"/>
        <w:textAlignment w:val="auto"/>
        <w:rPr>
          <w:rFonts w:hint="eastAsia" w:ascii="楷体" w:hAnsi="楷体" w:eastAsia="楷体" w:cs="楷体"/>
          <w:b/>
          <w:bCs/>
          <w:color w:val="auto"/>
          <w:spacing w:val="-6"/>
          <w:kern w:val="0"/>
          <w:sz w:val="32"/>
          <w:szCs w:val="32"/>
        </w:rPr>
      </w:pPr>
      <w:r>
        <w:rPr>
          <w:rFonts w:hint="eastAsia" w:ascii="楷体" w:hAnsi="楷体" w:eastAsia="楷体" w:cs="楷体"/>
          <w:b/>
          <w:bCs/>
          <w:color w:val="auto"/>
          <w:spacing w:val="-6"/>
          <w:kern w:val="0"/>
          <w:sz w:val="32"/>
          <w:szCs w:val="32"/>
        </w:rPr>
        <w:t>（六）申请承租公租房的办理流程</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1.申请承租非产业园区公租房的办理流程</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申请承租非产业园区的公租房的，办理流程如下：</w:t>
      </w:r>
    </w:p>
    <w:p>
      <w:pPr>
        <w:pageBreakBefore w:val="0"/>
        <w:widowControl w:val="0"/>
        <w:numPr>
          <w:ilvl w:val="0"/>
          <w:numId w:val="3"/>
        </w:numPr>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lang w:val="en-US" w:eastAsia="zh-CN"/>
        </w:rPr>
        <w:t>受理</w:t>
      </w:r>
      <w:r>
        <w:rPr>
          <w:rFonts w:hint="eastAsia" w:ascii="仿宋_GB2312" w:hAnsi="仿宋_GB2312" w:eastAsia="仿宋_GB2312" w:cs="仿宋_GB2312"/>
          <w:color w:val="auto"/>
          <w:spacing w:val="-6"/>
          <w:kern w:val="0"/>
          <w:sz w:val="32"/>
          <w:szCs w:val="32"/>
        </w:rPr>
        <w:t>：申请人凭居民身份证到户籍所在地镇人民政府（街道办事处）领取《中山市住房保障申请表》，如实填写后，向户籍所在地镇人民政府（街道办事处）提交该申请表</w:t>
      </w:r>
      <w:r>
        <w:rPr>
          <w:rFonts w:hint="eastAsia" w:ascii="仿宋_GB2312" w:hAnsi="仿宋_GB2312" w:eastAsia="仿宋_GB2312" w:cs="仿宋_GB2312"/>
          <w:color w:val="auto"/>
          <w:spacing w:val="-6"/>
          <w:kern w:val="0"/>
          <w:sz w:val="32"/>
          <w:szCs w:val="32"/>
          <w:lang w:val="en-US" w:eastAsia="zh-CN"/>
        </w:rPr>
        <w:t>及相关证明材料，受理日即该申请家庭的申请日期，以受理凭证日期为准</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rPr>
        <w:br w:type="textWrapping"/>
      </w:r>
      <w:r>
        <w:rPr>
          <w:rFonts w:hint="eastAsia" w:ascii="仿宋_GB2312" w:hAnsi="仿宋_GB2312" w:eastAsia="仿宋_GB2312" w:cs="仿宋_GB2312"/>
          <w:color w:val="auto"/>
          <w:spacing w:val="-6"/>
          <w:kern w:val="0"/>
          <w:sz w:val="32"/>
          <w:szCs w:val="32"/>
        </w:rPr>
        <w:t xml:space="preserve">    （2）</w:t>
      </w:r>
      <w:r>
        <w:rPr>
          <w:rFonts w:hint="eastAsia" w:ascii="仿宋_GB2312" w:hAnsi="仿宋_GB2312" w:eastAsia="仿宋_GB2312" w:cs="仿宋_GB2312"/>
          <w:color w:val="auto"/>
          <w:spacing w:val="-6"/>
          <w:kern w:val="0"/>
          <w:sz w:val="32"/>
          <w:szCs w:val="32"/>
          <w:lang w:val="en-US" w:eastAsia="zh-CN"/>
        </w:rPr>
        <w:t>公示</w:t>
      </w:r>
      <w:r>
        <w:rPr>
          <w:rFonts w:hint="eastAsia" w:ascii="仿宋_GB2312" w:hAnsi="仿宋_GB2312" w:eastAsia="仿宋_GB2312" w:cs="仿宋_GB2312"/>
          <w:color w:val="auto"/>
          <w:spacing w:val="-6"/>
          <w:kern w:val="0"/>
          <w:sz w:val="32"/>
          <w:szCs w:val="32"/>
        </w:rPr>
        <w:t>：申请由申请人户籍所在地镇人民政府（街道办事处）受理，自受理申请之日起2个工作日内，将申请人的户籍情况、家庭收入、住房状况、家庭资产等申报情况在社区（村）进行张榜公示，公示期间同步进行初审，初审及公示时间为20日。申请人户籍所在地与实际居住地不一致的，实际居住地村（居）委会应配合调查、核实，实际居住地和户籍所在地村（居）委会应当同时组织公示。</w:t>
      </w:r>
    </w:p>
    <w:p>
      <w:pPr>
        <w:pageBreakBefore w:val="0"/>
        <w:widowControl w:val="0"/>
        <w:numPr>
          <w:ilvl w:val="0"/>
          <w:numId w:val="0"/>
        </w:numPr>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color w:val="auto"/>
          <w:spacing w:val="-6"/>
          <w:kern w:val="0"/>
          <w:sz w:val="32"/>
          <w:szCs w:val="32"/>
          <w:lang w:val="en-US" w:eastAsia="zh-CN"/>
        </w:rPr>
        <w:t>异议及处理：</w:t>
      </w:r>
      <w:r>
        <w:rPr>
          <w:rFonts w:hint="eastAsia" w:ascii="仿宋_GB2312" w:hAnsi="仿宋_GB2312" w:eastAsia="仿宋_GB2312" w:cs="仿宋_GB2312"/>
          <w:color w:val="auto"/>
          <w:spacing w:val="-6"/>
          <w:kern w:val="0"/>
          <w:sz w:val="32"/>
          <w:szCs w:val="32"/>
        </w:rPr>
        <w:t>对公示内容有异议的组织或个人，应当书面在公示期内向申请人户籍所在地镇人民政府（街道办事处）提出，镇人民政府（街道办事处）应结合异议内容进行调查核实。</w:t>
      </w:r>
    </w:p>
    <w:p>
      <w:pPr>
        <w:pageBreakBefore w:val="0"/>
        <w:widowControl w:val="0"/>
        <w:numPr>
          <w:ilvl w:val="0"/>
          <w:numId w:val="0"/>
        </w:numPr>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b w:val="0"/>
          <w:bCs w:val="0"/>
          <w:color w:val="auto"/>
          <w:sz w:val="32"/>
          <w:szCs w:val="32"/>
          <w:lang w:val="en-US" w:eastAsia="zh-CN"/>
        </w:rPr>
        <w:t>（4）初审及提交：</w:t>
      </w:r>
      <w:r>
        <w:rPr>
          <w:rFonts w:hint="eastAsia" w:ascii="仿宋_GB2312" w:hAnsi="仿宋_GB2312" w:eastAsia="仿宋_GB2312" w:cs="仿宋_GB2312"/>
          <w:color w:val="auto"/>
          <w:spacing w:val="-6"/>
          <w:kern w:val="0"/>
          <w:sz w:val="32"/>
          <w:szCs w:val="32"/>
        </w:rPr>
        <w:t>申请人户籍所在地镇人民政府（街道办事处）组织村（居）委会及民政部门采取入户调查、邻里访问以及信函索证等方式，对申请人的户籍情况、家庭收入、住房状况、家庭资产等申报情况进行调查核实，提出书面调查意见，并于完成初审之日起3个工作日内将申请人的申请资料和书面调查意见提交市住保中心。</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lang w:val="en-US" w:eastAsia="zh-CN"/>
        </w:rPr>
        <w:t>5）</w:t>
      </w:r>
      <w:r>
        <w:rPr>
          <w:rFonts w:hint="eastAsia" w:ascii="仿宋_GB2312" w:hAnsi="仿宋_GB2312" w:eastAsia="仿宋_GB2312" w:cs="仿宋_GB2312"/>
          <w:color w:val="auto"/>
          <w:spacing w:val="-6"/>
          <w:kern w:val="0"/>
          <w:sz w:val="32"/>
          <w:szCs w:val="32"/>
        </w:rPr>
        <w:t>复审及公布：市住保中心自收到申请资料及书面调查意见之日起3个工作日内完成相关资料汇总分发并函询各相关审核部门。</w:t>
      </w:r>
      <w:r>
        <w:rPr>
          <w:rFonts w:hint="eastAsia" w:ascii="仿宋_GB2312" w:hAnsi="仿宋_GB2312" w:eastAsia="仿宋_GB2312" w:cs="仿宋_GB2312"/>
          <w:color w:val="auto"/>
          <w:spacing w:val="-6"/>
          <w:kern w:val="0"/>
          <w:sz w:val="32"/>
          <w:szCs w:val="32"/>
          <w:lang w:val="en-US" w:eastAsia="zh-CN"/>
        </w:rPr>
        <w:t>查询流程不纳入审批时效，以收到函复为准。</w:t>
      </w:r>
      <w:r>
        <w:rPr>
          <w:rFonts w:hint="eastAsia" w:ascii="仿宋_GB2312" w:hAnsi="仿宋_GB2312" w:eastAsia="仿宋_GB2312" w:cs="仿宋_GB2312"/>
          <w:color w:val="auto"/>
          <w:spacing w:val="-6"/>
          <w:kern w:val="0"/>
          <w:sz w:val="32"/>
          <w:szCs w:val="32"/>
        </w:rPr>
        <w:t>市住保中心自收齐各相关审核部门的复函之日起10个工作日内完成复审。并将经复审符合条件的申请人姓名、工作单位、现住房条件、家庭人口、家庭人均居住面积、家庭年可支配收入、资产情况、受理单位及住房保障方式等在市住保中心办公场所及中山市住房保障网站公示，公示时间不少于20日。</w:t>
      </w:r>
      <w:r>
        <w:rPr>
          <w:rFonts w:hint="eastAsia" w:ascii="仿宋_GB2312" w:hAnsi="仿宋_GB2312" w:eastAsia="仿宋_GB2312" w:cs="仿宋_GB2312"/>
          <w:color w:val="auto"/>
          <w:spacing w:val="-6"/>
          <w:kern w:val="0"/>
          <w:sz w:val="32"/>
          <w:szCs w:val="32"/>
        </w:rPr>
        <w:br w:type="textWrapping"/>
      </w:r>
      <w:r>
        <w:rPr>
          <w:rFonts w:hint="eastAsia" w:ascii="仿宋_GB2312" w:hAnsi="仿宋_GB2312" w:eastAsia="仿宋_GB2312" w:cs="仿宋_GB2312"/>
          <w:color w:val="auto"/>
          <w:spacing w:val="-6"/>
          <w:kern w:val="0"/>
          <w:sz w:val="32"/>
          <w:szCs w:val="32"/>
        </w:rPr>
        <w:t xml:space="preserve">    在公示期内，对公示内容有异议的组织或个人，应当在公示期内书面向市住保中心提出异议。市住保中心应自收到异议申请之日起10个工作日内重新调查核实。在公示期内经公示无异议或经核实异议不成立的，批准申请人取得住房保障资格并予以公布    </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lang w:val="en-US" w:eastAsia="zh-CN"/>
        </w:rPr>
        <w:t>6</w:t>
      </w:r>
      <w:r>
        <w:rPr>
          <w:rFonts w:hint="eastAsia" w:ascii="仿宋_GB2312" w:hAnsi="仿宋_GB2312" w:eastAsia="仿宋_GB2312" w:cs="仿宋_GB2312"/>
          <w:color w:val="auto"/>
          <w:spacing w:val="-6"/>
          <w:kern w:val="0"/>
          <w:sz w:val="32"/>
          <w:szCs w:val="32"/>
        </w:rPr>
        <w:t>）发放《住房保障资格核准通知书》：对已取得住房保障资格的申请人，市住保中心发放《住房保障资格核准通知书》，根据房源情况对申请家庭进行需求登记并纳入轮候安置。</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2.申请承租产业园区公租房的办理流程</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承租产业园区公租房采用承诺制的方式审批。产业园区务工人员向所用人单位承诺如实申报了个人情况，用人单位认定其符合准入条件，即视为该产业园区务工人员预取得产业园区配套公租房资格，用人单位可据此向产业园区配建公租房管理单位申请安置该人员。正式资格以镇政府最终批复为准。</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（1）个人申请：各类产业园区务工人员向园区用人单位提交中山市住房保障申请个人信息表、中山市住房保障申请承诺书、个人身份证复印件。</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2）企业汇总：用人单位汇总收集单位人员申请，逐人对照准入条件进行初步核定；对所有符合资格的单位人员汇总形成《中山市住房保障人员汇总表（企业）》，并据此填写《中山市住房保障审批表（企业）》，报送所在镇人民政府（街道办事处）住房城乡建设部门。报送同时应在用人单位进行公示，公示时间不少于20日。</w:t>
      </w:r>
      <w:r>
        <w:rPr>
          <w:rFonts w:hint="eastAsia" w:ascii="仿宋_GB2312" w:hAnsi="仿宋_GB2312" w:eastAsia="仿宋_GB2312" w:cs="仿宋_GB2312"/>
          <w:color w:val="auto"/>
          <w:spacing w:val="-6"/>
          <w:kern w:val="0"/>
          <w:sz w:val="32"/>
          <w:szCs w:val="32"/>
        </w:rPr>
        <w:br w:type="textWrapping"/>
      </w:r>
      <w:r>
        <w:rPr>
          <w:rFonts w:hint="eastAsia" w:ascii="仿宋_GB2312" w:hAnsi="仿宋_GB2312" w:eastAsia="仿宋_GB2312" w:cs="仿宋_GB2312"/>
          <w:color w:val="auto"/>
          <w:spacing w:val="-6"/>
          <w:kern w:val="0"/>
          <w:sz w:val="32"/>
          <w:szCs w:val="32"/>
        </w:rPr>
        <w:t xml:space="preserve">    （3）资格核查：所在镇人民政府（街道办事处）住房城乡建设部门受理后，应对用人单位申报的人员情况进行核查，待用人单位公示完成后，及时汇总公示意见，形成初审意见报镇人民政府（或街道办事处）。</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（4）资格核准：所在镇人民政府（或街道办事处）应尽快对住建部门报送的《中山市住房保障审批表（企业）》提出批复意见，并向用工单位发放资格核准批复通知书，并将有关情况在网站上进行公示。</w:t>
      </w:r>
      <w:r>
        <w:rPr>
          <w:rFonts w:hint="eastAsia" w:ascii="仿宋_GB2312" w:hAnsi="仿宋_GB2312" w:eastAsia="仿宋_GB2312" w:cs="仿宋_GB2312"/>
          <w:color w:val="auto"/>
          <w:spacing w:val="-6"/>
          <w:kern w:val="0"/>
          <w:sz w:val="32"/>
          <w:szCs w:val="32"/>
        </w:rPr>
        <w:br w:type="textWrapping"/>
      </w:r>
      <w:r>
        <w:rPr>
          <w:rFonts w:hint="eastAsia" w:ascii="仿宋_GB2312" w:hAnsi="仿宋_GB2312" w:eastAsia="仿宋_GB2312" w:cs="仿宋_GB2312"/>
          <w:color w:val="auto"/>
          <w:spacing w:val="-6"/>
          <w:kern w:val="0"/>
          <w:sz w:val="32"/>
          <w:szCs w:val="32"/>
        </w:rPr>
        <w:t xml:space="preserve">    （</w:t>
      </w:r>
      <w:r>
        <w:rPr>
          <w:rFonts w:hint="eastAsia" w:ascii="仿宋_GB2312" w:hAnsi="仿宋_GB2312" w:eastAsia="仿宋_GB2312" w:cs="仿宋_GB2312"/>
          <w:color w:val="auto"/>
          <w:spacing w:val="-6"/>
          <w:kern w:val="0"/>
          <w:sz w:val="32"/>
          <w:szCs w:val="32"/>
          <w:lang w:val="en-US" w:eastAsia="zh-CN"/>
        </w:rPr>
        <w:t>5</w:t>
      </w:r>
      <w:r>
        <w:rPr>
          <w:rFonts w:hint="eastAsia" w:ascii="仿宋_GB2312" w:hAnsi="仿宋_GB2312" w:eastAsia="仿宋_GB2312" w:cs="仿宋_GB2312"/>
          <w:color w:val="auto"/>
          <w:spacing w:val="-6"/>
          <w:kern w:val="0"/>
          <w:sz w:val="32"/>
          <w:szCs w:val="32"/>
        </w:rPr>
        <w:t>）备案及监管：镇人民政府（街道办事处）住房城乡建设部门应自审核结束后5个工作日内将《中山市住房保障审批表》报送至市住保中心,由住保中心对入住情况进行备案和监管。</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对产业园区务工人员资格有异议的组织或个人，应当书面向受理申请的镇人民政府（街道办事处）住房城乡建设部门提出。镇人民政府（街道办事处）住房城乡建设部门应自收到异议申请之日起5个工作日内重新调查核实，核查结果须在5个工作日内反馈给提出组织或个人。对不符合条件的人员应立即中止其住房保障资格，并及时予以清退，情节恶劣的应按有关规定处罚。</w:t>
      </w:r>
    </w:p>
    <w:p>
      <w:pPr>
        <w:pageBreakBefore w:val="0"/>
        <w:widowControl w:val="0"/>
        <w:kinsoku/>
        <w:wordWrap/>
        <w:overflowPunct/>
        <w:topLinePunct w:val="0"/>
        <w:autoSpaceDE/>
        <w:autoSpaceDN/>
        <w:bidi w:val="0"/>
        <w:adjustRightInd w:val="0"/>
        <w:snapToGrid w:val="0"/>
        <w:spacing w:line="574" w:lineRule="exact"/>
        <w:ind w:right="0" w:rightChars="0" w:firstLine="619" w:firstLineChars="200"/>
        <w:textAlignment w:val="auto"/>
        <w:rPr>
          <w:rFonts w:hint="eastAsia" w:ascii="楷体" w:hAnsi="楷体" w:eastAsia="楷体" w:cs="楷体"/>
          <w:b/>
          <w:bCs/>
          <w:color w:val="auto"/>
          <w:sz w:val="32"/>
          <w:szCs w:val="32"/>
        </w:rPr>
      </w:pPr>
      <w:r>
        <w:rPr>
          <w:rFonts w:hint="eastAsia" w:ascii="楷体" w:hAnsi="楷体" w:eastAsia="楷体" w:cs="楷体"/>
          <w:b/>
          <w:bCs/>
          <w:color w:val="auto"/>
          <w:spacing w:val="-6"/>
          <w:kern w:val="0"/>
          <w:sz w:val="32"/>
          <w:szCs w:val="32"/>
        </w:rPr>
        <w:t>（七）有关指标的核定</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1.关于收入的核定</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根据《关于做好住房保障申请家庭经济收入审核工作的通知》（中民救字〔2017〕56号）和《中山市人民政府关于印发中山市城乡居民最低生活保障及低收入家庭救助实施办法的通知》（中府〔2019〕73号，中府规字〔2019〕15号）的有关规定，以中山市民政部门的核定为准。</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2.关于人均自有住房面积的核定</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家庭成员或单身人士通过购买、赠与、继承、自建等途径取得所有权的住房及已签订了购房合同的住房，都应认定为自有住房，以房产登记部门系统核查记录为准。其建筑面积及套内面积均纳入申请人及家庭成员自有住房面积核定范围。</w:t>
      </w:r>
      <w:r>
        <w:rPr>
          <w:rFonts w:hint="eastAsia" w:ascii="仿宋_GB2312" w:hAnsi="仿宋_GB2312" w:eastAsia="仿宋_GB2312" w:cs="仿宋_GB2312"/>
          <w:color w:val="auto"/>
          <w:spacing w:val="-6"/>
          <w:kern w:val="0"/>
          <w:sz w:val="32"/>
          <w:szCs w:val="32"/>
        </w:rPr>
        <w:t>人均自有住房面积＝申请人及共同申请人占有份额面积之和÷申请人数。</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z w:val="32"/>
          <w:szCs w:val="32"/>
        </w:rPr>
        <w:t>3.申请人及家庭关于资产的</w:t>
      </w:r>
      <w:r>
        <w:rPr>
          <w:rFonts w:hint="eastAsia" w:ascii="仿宋_GB2312" w:hAnsi="仿宋_GB2312" w:eastAsia="仿宋_GB2312" w:cs="仿宋_GB2312"/>
          <w:color w:val="auto"/>
          <w:spacing w:val="-6"/>
          <w:kern w:val="0"/>
          <w:sz w:val="32"/>
          <w:szCs w:val="32"/>
        </w:rPr>
        <w:t>核定</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z w:val="32"/>
          <w:szCs w:val="32"/>
        </w:rPr>
        <w:t>申请人及家庭</w:t>
      </w:r>
      <w:r>
        <w:rPr>
          <w:rFonts w:hint="eastAsia" w:ascii="仿宋_GB2312" w:hAnsi="仿宋_GB2312" w:eastAsia="仿宋_GB2312" w:cs="仿宋_GB2312"/>
          <w:color w:val="auto"/>
          <w:spacing w:val="-6"/>
          <w:kern w:val="0"/>
          <w:sz w:val="32"/>
          <w:szCs w:val="32"/>
        </w:rPr>
        <w:t>资产指房（地）产、车辆、存款、有价证券（股票、基金和债券等）、投资型保险和住房公积金等。</w:t>
      </w:r>
    </w:p>
    <w:p>
      <w:pPr>
        <w:pageBreakBefore w:val="0"/>
        <w:widowControl w:val="0"/>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（1）房（地）产</w:t>
      </w:r>
      <w:r>
        <w:rPr>
          <w:rFonts w:hint="eastAsia" w:ascii="仿宋_GB2312" w:hAnsi="仿宋_GB2312" w:eastAsia="仿宋_GB2312" w:cs="仿宋_GB2312"/>
          <w:color w:val="auto"/>
          <w:spacing w:val="-6"/>
          <w:kern w:val="0"/>
          <w:sz w:val="32"/>
          <w:szCs w:val="32"/>
        </w:rPr>
        <w:t>价值按申请人提出住房保障申请时的评估价计算。</w:t>
      </w:r>
    </w:p>
    <w:p>
      <w:pPr>
        <w:pageBreakBefore w:val="0"/>
        <w:widowControl w:val="0"/>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（2）拥有车辆情况由车辆登记系统核查。其是否属于经营性车辆的认定以交管部门的认定为准。</w:t>
      </w:r>
      <w:r>
        <w:rPr>
          <w:rFonts w:hint="eastAsia" w:ascii="仿宋_GB2312" w:hAnsi="仿宋_GB2312" w:eastAsia="仿宋_GB2312" w:cs="仿宋_GB2312"/>
          <w:color w:val="auto"/>
          <w:spacing w:val="-6"/>
          <w:kern w:val="0"/>
          <w:sz w:val="32"/>
          <w:szCs w:val="32"/>
        </w:rPr>
        <w:t>如有合法经营性车辆，车辆价值不得超过6万元，车辆价值按申请人提出住房保障申请时的评估价计算。</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（3）存款、持有</w:t>
      </w:r>
      <w:r>
        <w:rPr>
          <w:rFonts w:hint="eastAsia" w:ascii="仿宋_GB2312" w:hAnsi="仿宋_GB2312" w:eastAsia="仿宋_GB2312" w:cs="仿宋_GB2312"/>
          <w:color w:val="auto"/>
          <w:spacing w:val="-6"/>
          <w:kern w:val="0"/>
          <w:sz w:val="32"/>
          <w:szCs w:val="32"/>
        </w:rPr>
        <w:t>有价证券和保险等情况</w:t>
      </w:r>
      <w:r>
        <w:rPr>
          <w:rFonts w:hint="eastAsia" w:ascii="仿宋_GB2312" w:hAnsi="仿宋_GB2312" w:eastAsia="仿宋_GB2312" w:cs="仿宋_GB2312"/>
          <w:color w:val="auto"/>
          <w:sz w:val="32"/>
          <w:szCs w:val="32"/>
        </w:rPr>
        <w:t>由申请人如实申报，承诺属实。</w:t>
      </w:r>
    </w:p>
    <w:p>
      <w:pPr>
        <w:pageBreakBefore w:val="0"/>
        <w:widowControl w:val="0"/>
        <w:numPr>
          <w:ilvl w:val="0"/>
          <w:numId w:val="4"/>
        </w:numPr>
        <w:kinsoku/>
        <w:wordWrap/>
        <w:overflowPunct/>
        <w:topLinePunct w:val="0"/>
        <w:autoSpaceDE/>
        <w:autoSpaceDN/>
        <w:bidi w:val="0"/>
        <w:adjustRightInd w:val="0"/>
        <w:snapToGrid w:val="0"/>
        <w:spacing w:line="574" w:lineRule="exact"/>
        <w:ind w:right="0" w:rightChars="0" w:firstLine="616" w:firstLineChars="200"/>
        <w:textAlignment w:val="auto"/>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公租房分配</w:t>
      </w:r>
      <w:r>
        <w:rPr>
          <w:rFonts w:hint="eastAsia" w:ascii="黑体" w:hAnsi="黑体" w:eastAsia="黑体" w:cs="黑体"/>
          <w:color w:val="auto"/>
          <w:spacing w:val="-6"/>
          <w:kern w:val="0"/>
          <w:sz w:val="32"/>
          <w:szCs w:val="32"/>
          <w:lang w:eastAsia="zh-CN"/>
        </w:rPr>
        <w:t>及</w:t>
      </w:r>
      <w:r>
        <w:rPr>
          <w:rFonts w:hint="eastAsia" w:ascii="黑体" w:hAnsi="黑体" w:eastAsia="黑体" w:cs="黑体"/>
          <w:color w:val="auto"/>
          <w:spacing w:val="-6"/>
          <w:kern w:val="0"/>
          <w:sz w:val="32"/>
          <w:szCs w:val="32"/>
        </w:rPr>
        <w:t>轮候规则</w:t>
      </w:r>
    </w:p>
    <w:p>
      <w:pPr>
        <w:pageBreakBefore w:val="0"/>
        <w:widowControl w:val="0"/>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公租房分配和轮候只针对已取得非产业园区配建公租房住房保障资格且申请实物保障的申请人。产业园区配建公租房住房</w:t>
      </w:r>
      <w:r>
        <w:rPr>
          <w:rFonts w:hint="eastAsia" w:ascii="仿宋_GB2312" w:hAnsi="仿宋_GB2312" w:eastAsia="仿宋_GB2312" w:cs="仿宋_GB2312"/>
          <w:color w:val="auto"/>
          <w:sz w:val="32"/>
          <w:szCs w:val="32"/>
          <w:lang w:eastAsia="zh-CN"/>
        </w:rPr>
        <w:t>参照执行。</w:t>
      </w:r>
    </w:p>
    <w:p>
      <w:pPr>
        <w:pageBreakBefore w:val="0"/>
        <w:widowControl w:val="0"/>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申请人领取住房保障资格批复时应根据公示的房源明确</w:t>
      </w:r>
      <w:r>
        <w:rPr>
          <w:rFonts w:hint="eastAsia" w:ascii="仿宋_GB2312" w:hAnsi="仿宋_GB2312" w:eastAsia="仿宋_GB2312" w:cs="仿宋_GB2312"/>
          <w:color w:val="auto"/>
          <w:sz w:val="32"/>
          <w:szCs w:val="32"/>
          <w:lang w:eastAsia="zh-CN"/>
        </w:rPr>
        <w:t>公租房项目名称及户型等需求</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adjustRightInd w:val="0"/>
        <w:snapToGrid w:val="0"/>
        <w:spacing w:line="574" w:lineRule="exact"/>
        <w:ind w:right="0" w:rightChars="0" w:firstLine="619" w:firstLineChars="200"/>
        <w:textAlignment w:val="auto"/>
        <w:rPr>
          <w:rFonts w:hint="eastAsia" w:ascii="楷体" w:hAnsi="楷体" w:eastAsia="楷体" w:cs="楷体"/>
          <w:b/>
          <w:bCs/>
          <w:color w:val="auto"/>
          <w:spacing w:val="-6"/>
          <w:kern w:val="0"/>
          <w:sz w:val="32"/>
          <w:szCs w:val="32"/>
        </w:rPr>
      </w:pPr>
      <w:r>
        <w:rPr>
          <w:rFonts w:hint="eastAsia" w:ascii="楷体" w:hAnsi="楷体" w:eastAsia="楷体" w:cs="楷体"/>
          <w:b/>
          <w:bCs/>
          <w:color w:val="auto"/>
          <w:spacing w:val="-6"/>
          <w:kern w:val="0"/>
          <w:sz w:val="32"/>
          <w:szCs w:val="32"/>
        </w:rPr>
        <w:t>（一）公租房的分配</w:t>
      </w:r>
    </w:p>
    <w:p>
      <w:pPr>
        <w:pageBreakBefore w:val="0"/>
        <w:widowControl w:val="0"/>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每个镇街的住房保障主管部门应对</w:t>
      </w:r>
      <w:r>
        <w:rPr>
          <w:rFonts w:hint="eastAsia" w:ascii="仿宋_GB2312" w:hAnsi="仿宋_GB2312" w:eastAsia="仿宋_GB2312" w:cs="仿宋_GB2312"/>
          <w:color w:val="auto"/>
          <w:sz w:val="32"/>
          <w:szCs w:val="32"/>
        </w:rPr>
        <w:t>每个公租房项目制定分配方案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在不影响使用的前提下多个项目可合并制定公租房分配方案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方案中必须明确空置房屋的分配</w:t>
      </w:r>
      <w:r>
        <w:rPr>
          <w:rFonts w:hint="eastAsia" w:ascii="仿宋_GB2312" w:hAnsi="仿宋_GB2312" w:eastAsia="仿宋_GB2312" w:cs="仿宋_GB2312"/>
          <w:color w:val="auto"/>
          <w:sz w:val="32"/>
          <w:szCs w:val="32"/>
          <w:lang w:eastAsia="zh-CN"/>
        </w:rPr>
        <w:t>计划</w:t>
      </w:r>
      <w:r>
        <w:rPr>
          <w:rFonts w:hint="eastAsia" w:ascii="仿宋_GB2312" w:hAnsi="仿宋_GB2312" w:eastAsia="仿宋_GB2312" w:cs="仿宋_GB2312"/>
          <w:color w:val="auto"/>
          <w:sz w:val="32"/>
          <w:szCs w:val="32"/>
        </w:rPr>
        <w:t>，确保房屋不出现长期空置的情况。</w:t>
      </w:r>
      <w:r>
        <w:rPr>
          <w:rFonts w:hint="eastAsia" w:ascii="仿宋_GB2312" w:hAnsi="仿宋_GB2312" w:eastAsia="仿宋_GB2312" w:cs="仿宋_GB2312"/>
          <w:color w:val="auto"/>
          <w:sz w:val="32"/>
          <w:szCs w:val="32"/>
          <w:lang w:eastAsia="zh-CN"/>
        </w:rPr>
        <w:t>由镇筹集的</w:t>
      </w:r>
      <w:r>
        <w:rPr>
          <w:rFonts w:hint="eastAsia" w:ascii="仿宋_GB2312" w:hAnsi="仿宋_GB2312" w:eastAsia="仿宋_GB2312" w:cs="仿宋_GB2312"/>
          <w:color w:val="auto"/>
          <w:sz w:val="32"/>
          <w:szCs w:val="32"/>
        </w:rPr>
        <w:t>公租房分配方案由各镇、街自行制定</w:t>
      </w:r>
      <w:r>
        <w:rPr>
          <w:rFonts w:hint="eastAsia" w:ascii="仿宋_GB2312" w:hAnsi="仿宋_GB2312" w:eastAsia="仿宋_GB2312" w:cs="仿宋_GB2312"/>
          <w:color w:val="auto"/>
          <w:sz w:val="32"/>
          <w:szCs w:val="32"/>
          <w:lang w:eastAsia="zh-CN"/>
        </w:rPr>
        <w:t>。由市筹集的</w:t>
      </w:r>
      <w:r>
        <w:rPr>
          <w:rFonts w:hint="eastAsia" w:ascii="仿宋_GB2312" w:hAnsi="仿宋_GB2312" w:eastAsia="仿宋_GB2312" w:cs="仿宋_GB2312"/>
          <w:color w:val="auto"/>
          <w:sz w:val="32"/>
          <w:szCs w:val="32"/>
        </w:rPr>
        <w:t>公租房分配方案由</w:t>
      </w:r>
      <w:r>
        <w:rPr>
          <w:rFonts w:hint="eastAsia" w:ascii="仿宋_GB2312" w:hAnsi="仿宋_GB2312" w:eastAsia="仿宋_GB2312" w:cs="仿宋_GB2312"/>
          <w:color w:val="auto"/>
          <w:spacing w:val="-6"/>
          <w:kern w:val="0"/>
          <w:sz w:val="32"/>
          <w:szCs w:val="32"/>
        </w:rPr>
        <w:t>市住保中心</w:t>
      </w:r>
      <w:r>
        <w:rPr>
          <w:rFonts w:hint="eastAsia" w:ascii="仿宋_GB2312" w:hAnsi="仿宋_GB2312" w:eastAsia="仿宋_GB2312" w:cs="仿宋_GB2312"/>
          <w:color w:val="auto"/>
          <w:sz w:val="32"/>
          <w:szCs w:val="32"/>
        </w:rPr>
        <w:t>根据需求结合项目所在镇街实际制定。分配方案</w:t>
      </w:r>
      <w:r>
        <w:rPr>
          <w:rFonts w:hint="eastAsia" w:ascii="仿宋_GB2312" w:hAnsi="仿宋_GB2312" w:eastAsia="仿宋_GB2312" w:cs="仿宋_GB2312"/>
          <w:color w:val="auto"/>
          <w:sz w:val="32"/>
          <w:szCs w:val="32"/>
          <w:lang w:eastAsia="zh-CN"/>
        </w:rPr>
        <w:t>原则上单人或一对夫妻只可申请一居室。</w:t>
      </w:r>
    </w:p>
    <w:p>
      <w:pPr>
        <w:pageBreakBefore w:val="0"/>
        <w:widowControl w:val="0"/>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每一次分配除特殊情况需要保留的房屋外，应将所有合格的空置房屋全部分配完毕。房屋分配</w:t>
      </w:r>
      <w:r>
        <w:rPr>
          <w:rFonts w:hint="eastAsia" w:ascii="仿宋_GB2312" w:hAnsi="仿宋_GB2312" w:eastAsia="仿宋_GB2312" w:cs="仿宋_GB2312"/>
          <w:color w:val="auto"/>
          <w:sz w:val="32"/>
          <w:szCs w:val="32"/>
          <w:lang w:eastAsia="zh-CN"/>
        </w:rPr>
        <w:t>原则上</w:t>
      </w:r>
      <w:r>
        <w:rPr>
          <w:rFonts w:hint="eastAsia" w:ascii="仿宋_GB2312" w:hAnsi="仿宋_GB2312" w:eastAsia="仿宋_GB2312" w:cs="仿宋_GB2312"/>
          <w:color w:val="auto"/>
          <w:sz w:val="32"/>
          <w:szCs w:val="32"/>
        </w:rPr>
        <w:t>采取抽签</w:t>
      </w:r>
      <w:r>
        <w:rPr>
          <w:rFonts w:hint="eastAsia" w:ascii="仿宋_GB2312" w:hAnsi="仿宋_GB2312" w:eastAsia="仿宋_GB2312" w:cs="仿宋_GB2312"/>
          <w:color w:val="auto"/>
          <w:sz w:val="32"/>
          <w:szCs w:val="32"/>
          <w:lang w:eastAsia="zh-CN"/>
        </w:rPr>
        <w:t>方式确定，对于残疾和生活不便人士可根据生活需要，在双方同意的前提下，向住房保障主管部门申请调换。</w:t>
      </w:r>
      <w:r>
        <w:rPr>
          <w:rFonts w:hint="eastAsia" w:ascii="仿宋_GB2312" w:hAnsi="仿宋_GB2312" w:eastAsia="仿宋_GB2312" w:cs="仿宋_GB2312"/>
          <w:color w:val="auto"/>
          <w:sz w:val="32"/>
          <w:szCs w:val="32"/>
        </w:rPr>
        <w:t>房屋选取顺序根据申请人按轮候规则依次进行。对由于申请人主动放弃而造成未能及时分配的房屋应按轮候规则由后续申请人依次递补，直至全部房屋分配完成。</w:t>
      </w:r>
    </w:p>
    <w:p>
      <w:pPr>
        <w:pageBreakBefore w:val="0"/>
        <w:widowControl w:val="0"/>
        <w:kinsoku/>
        <w:wordWrap/>
        <w:overflowPunct/>
        <w:topLinePunct w:val="0"/>
        <w:autoSpaceDE/>
        <w:autoSpaceDN/>
        <w:bidi w:val="0"/>
        <w:adjustRightInd w:val="0"/>
        <w:snapToGrid w:val="0"/>
        <w:spacing w:line="574" w:lineRule="exact"/>
        <w:ind w:right="0" w:rightChars="0" w:firstLine="619" w:firstLineChars="200"/>
        <w:textAlignment w:val="auto"/>
        <w:rPr>
          <w:rFonts w:hint="eastAsia" w:ascii="楷体" w:hAnsi="楷体" w:eastAsia="楷体" w:cs="楷体"/>
          <w:b/>
          <w:bCs/>
          <w:color w:val="auto"/>
          <w:spacing w:val="-6"/>
          <w:kern w:val="0"/>
          <w:sz w:val="32"/>
          <w:szCs w:val="32"/>
        </w:rPr>
      </w:pPr>
      <w:r>
        <w:rPr>
          <w:rFonts w:hint="eastAsia" w:ascii="楷体" w:hAnsi="楷体" w:eastAsia="楷体" w:cs="楷体"/>
          <w:b/>
          <w:bCs/>
          <w:color w:val="auto"/>
          <w:spacing w:val="-6"/>
          <w:kern w:val="0"/>
          <w:sz w:val="32"/>
          <w:szCs w:val="32"/>
        </w:rPr>
        <w:t>（二）公租房</w:t>
      </w:r>
      <w:r>
        <w:rPr>
          <w:rFonts w:hint="eastAsia" w:ascii="楷体" w:hAnsi="楷体" w:eastAsia="楷体" w:cs="楷体"/>
          <w:b/>
          <w:bCs/>
          <w:color w:val="auto"/>
          <w:spacing w:val="-6"/>
          <w:kern w:val="0"/>
          <w:sz w:val="32"/>
          <w:szCs w:val="32"/>
          <w:lang w:eastAsia="zh-CN"/>
        </w:rPr>
        <w:t>的</w:t>
      </w:r>
      <w:r>
        <w:rPr>
          <w:rFonts w:hint="eastAsia" w:ascii="楷体" w:hAnsi="楷体" w:eastAsia="楷体" w:cs="楷体"/>
          <w:b/>
          <w:bCs/>
          <w:color w:val="auto"/>
          <w:spacing w:val="-6"/>
          <w:kern w:val="0"/>
          <w:sz w:val="32"/>
          <w:szCs w:val="32"/>
        </w:rPr>
        <w:t>轮候规则</w:t>
      </w:r>
    </w:p>
    <w:p>
      <w:pPr>
        <w:pageBreakBefore w:val="0"/>
        <w:widowControl w:val="0"/>
        <w:kinsoku/>
        <w:wordWrap/>
        <w:overflowPunct/>
        <w:topLinePunct w:val="0"/>
        <w:autoSpaceDE/>
        <w:autoSpaceDN/>
        <w:bidi w:val="0"/>
        <w:adjustRightInd w:val="0"/>
        <w:snapToGrid w:val="0"/>
        <w:spacing w:line="574" w:lineRule="exact"/>
        <w:ind w:right="0" w:rightChars="0" w:firstLine="640"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strike w:val="0"/>
          <w:color w:val="auto"/>
          <w:sz w:val="32"/>
          <w:szCs w:val="32"/>
        </w:rPr>
        <w:t>列入每轮中山市公租房抽签分配仪式分配的房源视为一轮公租房房源。每一轮公租房房源，由轮候到位的申请人按抽签的方式</w:t>
      </w:r>
      <w:r>
        <w:rPr>
          <w:rFonts w:hint="eastAsia" w:ascii="仿宋_GB2312" w:hAnsi="仿宋_GB2312" w:eastAsia="仿宋_GB2312" w:cs="仿宋_GB2312"/>
          <w:strike w:val="0"/>
          <w:color w:val="auto"/>
          <w:sz w:val="32"/>
          <w:szCs w:val="32"/>
          <w:lang w:eastAsia="zh-CN"/>
        </w:rPr>
        <w:t>抽取</w:t>
      </w:r>
      <w:r>
        <w:rPr>
          <w:rFonts w:hint="eastAsia" w:ascii="仿宋_GB2312" w:hAnsi="仿宋_GB2312" w:eastAsia="仿宋_GB2312" w:cs="仿宋_GB2312"/>
          <w:strike w:val="0"/>
          <w:color w:val="auto"/>
          <w:sz w:val="32"/>
          <w:szCs w:val="32"/>
        </w:rPr>
        <w:t>公租房。放弃选择的，则重新轮候，</w:t>
      </w:r>
      <w:r>
        <w:rPr>
          <w:rFonts w:hint="eastAsia" w:ascii="仿宋_GB2312" w:hAnsi="仿宋_GB2312" w:eastAsia="仿宋_GB2312" w:cs="仿宋_GB2312"/>
          <w:strike w:val="0"/>
          <w:color w:val="auto"/>
          <w:spacing w:val="-6"/>
          <w:kern w:val="0"/>
          <w:sz w:val="32"/>
          <w:szCs w:val="32"/>
        </w:rPr>
        <w:t>由排在其后的申请人依次递补，一直到本轮房源分配完毕为止。</w:t>
      </w:r>
      <w:r>
        <w:rPr>
          <w:rFonts w:hint="eastAsia" w:ascii="仿宋_GB2312" w:hAnsi="仿宋_GB2312" w:eastAsia="仿宋_GB2312" w:cs="仿宋_GB2312"/>
          <w:color w:val="auto"/>
          <w:spacing w:val="-6"/>
          <w:kern w:val="0"/>
          <w:sz w:val="32"/>
          <w:szCs w:val="32"/>
        </w:rPr>
        <w:t>公租房</w:t>
      </w:r>
      <w:r>
        <w:rPr>
          <w:rFonts w:hint="eastAsia" w:ascii="仿宋_GB2312" w:hAnsi="仿宋_GB2312" w:eastAsia="仿宋_GB2312" w:cs="仿宋_GB2312"/>
          <w:color w:val="auto"/>
          <w:spacing w:val="-6"/>
          <w:kern w:val="0"/>
          <w:sz w:val="32"/>
          <w:szCs w:val="32"/>
          <w:lang w:eastAsia="zh-CN"/>
        </w:rPr>
        <w:t>的</w:t>
      </w:r>
      <w:r>
        <w:rPr>
          <w:rFonts w:hint="eastAsia" w:ascii="仿宋_GB2312" w:hAnsi="仿宋_GB2312" w:eastAsia="仿宋_GB2312" w:cs="仿宋_GB2312"/>
          <w:color w:val="auto"/>
          <w:spacing w:val="-6"/>
          <w:kern w:val="0"/>
          <w:sz w:val="32"/>
          <w:szCs w:val="32"/>
        </w:rPr>
        <w:t>轮候规则将已取得住房保障资格的人员的轮候设置三档分配档级。档次的轮候规则：第一档优先于第二，第二档优先于第三档。每档的轮候规则：以获得住房保障资格的时间先后</w:t>
      </w:r>
      <w:r>
        <w:rPr>
          <w:rFonts w:hint="eastAsia" w:ascii="仿宋_GB2312" w:hAnsi="仿宋_GB2312" w:eastAsia="仿宋_GB2312" w:cs="仿宋_GB2312"/>
          <w:color w:val="auto"/>
          <w:spacing w:val="-6"/>
          <w:kern w:val="0"/>
          <w:sz w:val="32"/>
          <w:szCs w:val="32"/>
          <w:lang w:eastAsia="zh-CN"/>
        </w:rPr>
        <w:t>排</w:t>
      </w:r>
      <w:r>
        <w:rPr>
          <w:rFonts w:hint="eastAsia" w:ascii="仿宋_GB2312" w:hAnsi="仿宋_GB2312" w:eastAsia="仿宋_GB2312" w:cs="仿宋_GB2312"/>
          <w:color w:val="auto"/>
          <w:spacing w:val="-6"/>
          <w:kern w:val="0"/>
          <w:sz w:val="32"/>
          <w:szCs w:val="32"/>
        </w:rPr>
        <w:t>序。在每一轮</w:t>
      </w:r>
      <w:r>
        <w:rPr>
          <w:rFonts w:hint="eastAsia" w:ascii="仿宋_GB2312" w:hAnsi="仿宋_GB2312" w:eastAsia="仿宋_GB2312" w:cs="仿宋_GB2312"/>
          <w:color w:val="auto"/>
          <w:sz w:val="32"/>
          <w:szCs w:val="32"/>
        </w:rPr>
        <w:t>公租房房源的分配中，</w:t>
      </w:r>
      <w:r>
        <w:rPr>
          <w:rFonts w:hint="eastAsia" w:ascii="仿宋_GB2312" w:hAnsi="仿宋_GB2312" w:eastAsia="仿宋_GB2312" w:cs="仿宋_GB2312"/>
          <w:color w:val="auto"/>
          <w:spacing w:val="-6"/>
          <w:kern w:val="0"/>
          <w:sz w:val="32"/>
          <w:szCs w:val="32"/>
        </w:rPr>
        <w:t>轮候到位的申请人在提供选择的房源范围内，按照抽签选定公租房。由于个人原因放弃已抽签的公租房</w:t>
      </w:r>
      <w:r>
        <w:rPr>
          <w:rFonts w:hint="eastAsia" w:ascii="仿宋_GB2312" w:hAnsi="仿宋_GB2312" w:eastAsia="仿宋_GB2312" w:cs="仿宋_GB2312"/>
          <w:color w:val="auto"/>
          <w:spacing w:val="-6"/>
          <w:kern w:val="0"/>
          <w:sz w:val="32"/>
          <w:szCs w:val="32"/>
          <w:lang w:eastAsia="zh-CN"/>
        </w:rPr>
        <w:t>的</w:t>
      </w:r>
      <w:r>
        <w:rPr>
          <w:rFonts w:hint="eastAsia" w:ascii="仿宋_GB2312" w:hAnsi="仿宋_GB2312" w:eastAsia="仿宋_GB2312" w:cs="仿宋_GB2312"/>
          <w:color w:val="auto"/>
          <w:spacing w:val="-6"/>
          <w:kern w:val="0"/>
          <w:sz w:val="32"/>
          <w:szCs w:val="32"/>
        </w:rPr>
        <w:t>，</w:t>
      </w:r>
      <w:r>
        <w:rPr>
          <w:rFonts w:hint="eastAsia" w:ascii="仿宋_GB2312" w:hAnsi="仿宋_GB2312" w:eastAsia="仿宋_GB2312" w:cs="仿宋_GB2312"/>
          <w:color w:val="auto"/>
          <w:spacing w:val="-6"/>
          <w:kern w:val="0"/>
          <w:sz w:val="32"/>
          <w:szCs w:val="32"/>
          <w:lang w:eastAsia="zh-CN"/>
        </w:rPr>
        <w:t>本轮不再安排，且</w:t>
      </w:r>
      <w:r>
        <w:rPr>
          <w:rFonts w:hint="eastAsia" w:ascii="仿宋_GB2312" w:hAnsi="仿宋_GB2312" w:eastAsia="仿宋_GB2312" w:cs="仿宋_GB2312"/>
          <w:color w:val="auto"/>
          <w:spacing w:val="-6"/>
          <w:kern w:val="0"/>
          <w:sz w:val="32"/>
          <w:szCs w:val="32"/>
        </w:rPr>
        <w:t>不得参与</w:t>
      </w:r>
      <w:r>
        <w:rPr>
          <w:rFonts w:hint="eastAsia" w:ascii="仿宋_GB2312" w:hAnsi="仿宋_GB2312" w:eastAsia="仿宋_GB2312" w:cs="仿宋_GB2312"/>
          <w:color w:val="auto"/>
          <w:spacing w:val="-6"/>
          <w:kern w:val="0"/>
          <w:sz w:val="32"/>
          <w:szCs w:val="32"/>
          <w:lang w:eastAsia="zh-CN"/>
        </w:rPr>
        <w:t>下一轮</w:t>
      </w:r>
      <w:r>
        <w:rPr>
          <w:rFonts w:hint="eastAsia" w:ascii="仿宋_GB2312" w:hAnsi="仿宋_GB2312" w:eastAsia="仿宋_GB2312" w:cs="仿宋_GB2312"/>
          <w:color w:val="auto"/>
          <w:spacing w:val="-6"/>
          <w:kern w:val="0"/>
          <w:sz w:val="32"/>
          <w:szCs w:val="32"/>
        </w:rPr>
        <w:t>轮候</w:t>
      </w:r>
      <w:r>
        <w:rPr>
          <w:rFonts w:hint="eastAsia" w:ascii="仿宋_GB2312" w:hAnsi="仿宋_GB2312" w:eastAsia="仿宋_GB2312" w:cs="仿宋_GB2312"/>
          <w:color w:val="auto"/>
          <w:spacing w:val="-6"/>
          <w:kern w:val="0"/>
          <w:sz w:val="32"/>
          <w:szCs w:val="32"/>
          <w:lang w:eastAsia="zh-CN"/>
        </w:rPr>
        <w:t>。</w:t>
      </w:r>
      <w:r>
        <w:rPr>
          <w:rFonts w:hint="eastAsia" w:ascii="仿宋_GB2312" w:hAnsi="仿宋_GB2312" w:eastAsia="仿宋_GB2312" w:cs="仿宋_GB2312"/>
          <w:color w:val="auto"/>
          <w:spacing w:val="-6"/>
          <w:kern w:val="0"/>
          <w:sz w:val="32"/>
          <w:szCs w:val="32"/>
        </w:rPr>
        <w:t>在重新轮候过程中，放弃选择的申请人可领取租赁补贴。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0" w:leftChars="0" w:right="0" w:rightChars="0" w:firstLine="616" w:firstLineChars="200"/>
        <w:jc w:val="both"/>
        <w:textAlignment w:val="auto"/>
        <w:outlineLvl w:val="9"/>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w w:val="100"/>
          <w:kern w:val="0"/>
          <w:sz w:val="32"/>
          <w:szCs w:val="32"/>
          <w:lang w:val="en-US" w:eastAsia="zh-CN"/>
        </w:rPr>
        <w:t>在轮候期间，申请人（包括共同申请人，下同）户籍、收入、资产或住房等情况发生变动的，申请人应当自发生变动之日起30日内向所在地镇人民政府（街道办事处）如实提交书面材料，由所在地镇人民政府（街道办事处）根据实际情况重新审核资格条件，按程序报批后调整轮候顺序或者取消其轮候资格。轮候超过3年的，市住保中心应当对申请人是否符合规定条件进行重新审核，申请人应当配合。经审核，申请人仍符合规定条件的，其原轮候次序不变加分不变。申请人因情况发生变化不再符合规定条件的，市住保中心应当取消其轮候资格，并书面告知。</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kern w:val="0"/>
          <w:sz w:val="32"/>
          <w:szCs w:val="32"/>
        </w:rPr>
        <w:t>1.第一档分配人员</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（1）持有民政部门核发的有效期内的低保、低收入证的住房困难家庭、重度残疾人及分散供养特困人员。</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（2）持有市级及以上精神文明办核发的见义勇为证明材料的人员。</w:t>
      </w:r>
    </w:p>
    <w:p>
      <w:pPr>
        <w:pageBreakBefore w:val="0"/>
        <w:widowControl w:val="0"/>
        <w:kinsoku/>
        <w:wordWrap/>
        <w:overflowPunct/>
        <w:topLinePunct w:val="0"/>
        <w:autoSpaceDE/>
        <w:autoSpaceDN/>
        <w:bidi w:val="0"/>
        <w:adjustRightInd w:val="0"/>
        <w:snapToGrid w:val="0"/>
        <w:spacing w:line="574" w:lineRule="exact"/>
        <w:ind w:left="480" w:leftChars="200" w:right="0" w:rightChars="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pacing w:val="-6"/>
          <w:kern w:val="0"/>
          <w:sz w:val="32"/>
          <w:szCs w:val="32"/>
        </w:rPr>
        <w:t>2.第二档分配人员</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（1）复退军人；</w:t>
      </w:r>
    </w:p>
    <w:p>
      <w:pPr>
        <w:pageBreakBefore w:val="0"/>
        <w:widowControl w:val="0"/>
        <w:kinsoku/>
        <w:wordWrap/>
        <w:overflowPunct/>
        <w:topLinePunct w:val="0"/>
        <w:autoSpaceDE/>
        <w:autoSpaceDN/>
        <w:bidi w:val="0"/>
        <w:spacing w:line="574" w:lineRule="exact"/>
        <w:ind w:right="0" w:rightChars="0" w:firstLine="616"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kern w:val="0"/>
          <w:sz w:val="32"/>
          <w:szCs w:val="32"/>
        </w:rPr>
        <w:t>（2）烈士遗属、因公牺牲军人遗属、病故军人遗属</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spacing w:line="574" w:lineRule="exact"/>
        <w:ind w:right="0" w:rightChars="0" w:firstLine="616"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6"/>
          <w:kern w:val="0"/>
          <w:sz w:val="32"/>
          <w:szCs w:val="32"/>
        </w:rPr>
        <w:t>（3）参战涉核人员、铀矿开采军队退役人员</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autoSpaceDN/>
        <w:bidi w:val="0"/>
        <w:spacing w:line="574" w:lineRule="exact"/>
        <w:ind w:right="0" w:rightChars="0" w:firstLine="616" w:firstLineChars="200"/>
        <w:jc w:val="left"/>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（4）现役军人家庭；</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（5）中度和轻度残疾人；</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（6）患重大疾病或特殊病种（以市医疗保险规定的认定为准）；</w:t>
      </w:r>
    </w:p>
    <w:p>
      <w:pPr>
        <w:pageBreakBefore w:val="0"/>
        <w:widowControl w:val="0"/>
        <w:kinsoku/>
        <w:wordWrap/>
        <w:overflowPunct/>
        <w:topLinePunct w:val="0"/>
        <w:autoSpaceDE/>
        <w:autoSpaceDN/>
        <w:bidi w:val="0"/>
        <w:spacing w:line="574" w:lineRule="exact"/>
        <w:ind w:right="0" w:rightChars="0" w:firstLine="616" w:firstLineChars="200"/>
        <w:jc w:val="left"/>
        <w:textAlignment w:val="auto"/>
        <w:rPr>
          <w:rFonts w:hint="eastAsia" w:ascii="仿宋_GB2312" w:hAnsi="仿宋_GB2312" w:eastAsia="仿宋_GB2312" w:cs="仿宋_GB2312"/>
          <w:color w:val="auto"/>
          <w:spacing w:val="-6"/>
          <w:kern w:val="0"/>
          <w:sz w:val="32"/>
          <w:szCs w:val="32"/>
          <w:lang w:eastAsia="zh-CN"/>
        </w:rPr>
      </w:pPr>
      <w:r>
        <w:rPr>
          <w:rFonts w:hint="eastAsia" w:ascii="仿宋_GB2312" w:hAnsi="仿宋_GB2312" w:eastAsia="仿宋_GB2312" w:cs="仿宋_GB2312"/>
          <w:color w:val="auto"/>
          <w:spacing w:val="-6"/>
          <w:kern w:val="0"/>
          <w:sz w:val="32"/>
          <w:szCs w:val="32"/>
        </w:rPr>
        <w:t>（7）在乡“五老”人员</w:t>
      </w:r>
      <w:r>
        <w:rPr>
          <w:rFonts w:hint="eastAsia" w:ascii="仿宋_GB2312" w:hAnsi="仿宋_GB2312" w:eastAsia="仿宋_GB2312" w:cs="仿宋_GB2312"/>
          <w:color w:val="auto"/>
          <w:spacing w:val="-6"/>
          <w:kern w:val="0"/>
          <w:sz w:val="32"/>
          <w:szCs w:val="32"/>
          <w:lang w:eastAsia="zh-CN"/>
        </w:rPr>
        <w:t>；</w:t>
      </w:r>
    </w:p>
    <w:p>
      <w:pPr>
        <w:pageBreakBefore w:val="0"/>
        <w:widowControl w:val="0"/>
        <w:kinsoku/>
        <w:wordWrap/>
        <w:overflowPunct/>
        <w:topLinePunct w:val="0"/>
        <w:autoSpaceDE/>
        <w:autoSpaceDN/>
        <w:bidi w:val="0"/>
        <w:spacing w:line="574" w:lineRule="exact"/>
        <w:ind w:right="0" w:rightChars="0" w:firstLine="616" w:firstLineChars="200"/>
        <w:jc w:val="left"/>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（8）棚改安置户。</w:t>
      </w:r>
    </w:p>
    <w:p>
      <w:pPr>
        <w:pageBreakBefore w:val="0"/>
        <w:widowControl w:val="0"/>
        <w:kinsoku/>
        <w:wordWrap/>
        <w:overflowPunct/>
        <w:topLinePunct w:val="0"/>
        <w:autoSpaceDE/>
        <w:autoSpaceDN/>
        <w:bidi w:val="0"/>
        <w:spacing w:line="574" w:lineRule="exact"/>
        <w:ind w:right="0" w:rightChars="0" w:firstLine="616" w:firstLineChars="200"/>
        <w:jc w:val="left"/>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3.第三档分配人员</w:t>
      </w:r>
    </w:p>
    <w:p>
      <w:pPr>
        <w:pageBreakBefore w:val="0"/>
        <w:widowControl w:val="0"/>
        <w:kinsoku/>
        <w:wordWrap/>
        <w:overflowPunct/>
        <w:topLinePunct w:val="0"/>
        <w:autoSpaceDE/>
        <w:autoSpaceDN/>
        <w:bidi w:val="0"/>
        <w:spacing w:line="574" w:lineRule="exact"/>
        <w:ind w:right="0" w:rightChars="0" w:firstLine="616" w:firstLineChars="200"/>
        <w:jc w:val="left"/>
        <w:textAlignment w:val="auto"/>
        <w:rPr>
          <w:rFonts w:hint="eastAsia" w:ascii="仿宋_GB2312" w:hAnsi="仿宋_GB2312" w:eastAsia="仿宋_GB2312" w:cs="仿宋_GB2312"/>
          <w:color w:val="auto"/>
          <w:spacing w:val="-6"/>
          <w:kern w:val="0"/>
          <w:sz w:val="32"/>
          <w:szCs w:val="32"/>
        </w:rPr>
      </w:pPr>
      <w:r>
        <w:rPr>
          <w:rFonts w:hint="eastAsia" w:ascii="仿宋_GB2312" w:hAnsi="仿宋_GB2312" w:eastAsia="仿宋_GB2312" w:cs="仿宋_GB2312"/>
          <w:color w:val="auto"/>
          <w:spacing w:val="-6"/>
          <w:kern w:val="0"/>
          <w:sz w:val="32"/>
          <w:szCs w:val="32"/>
        </w:rPr>
        <w:t>除第一档和第二档以外的其他人员。</w:t>
      </w:r>
    </w:p>
    <w:p>
      <w:pPr>
        <w:pageBreakBefore w:val="0"/>
        <w:widowControl w:val="0"/>
        <w:kinsoku/>
        <w:wordWrap/>
        <w:overflowPunct/>
        <w:topLinePunct w:val="0"/>
        <w:autoSpaceDE/>
        <w:autoSpaceDN/>
        <w:bidi w:val="0"/>
        <w:adjustRightInd w:val="0"/>
        <w:snapToGrid w:val="0"/>
        <w:spacing w:line="574" w:lineRule="exact"/>
        <w:ind w:right="0" w:rightChars="0" w:firstLine="616" w:firstLineChars="200"/>
        <w:textAlignment w:val="auto"/>
        <w:rPr>
          <w:rFonts w:ascii="黑体" w:hAnsi="黑体" w:eastAsia="黑体" w:cs="黑体"/>
          <w:color w:val="auto"/>
          <w:spacing w:val="-6"/>
          <w:kern w:val="0"/>
          <w:sz w:val="32"/>
          <w:szCs w:val="32"/>
        </w:rPr>
      </w:pPr>
      <w:r>
        <w:rPr>
          <w:rFonts w:hint="eastAsia" w:ascii="黑体" w:hAnsi="黑体" w:eastAsia="黑体" w:cs="黑体"/>
          <w:color w:val="auto"/>
          <w:spacing w:val="-6"/>
          <w:kern w:val="0"/>
          <w:sz w:val="32"/>
          <w:szCs w:val="32"/>
        </w:rPr>
        <w:t>三、附则</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pacing w:val="-6"/>
          <w:kern w:val="0"/>
          <w:sz w:val="32"/>
          <w:szCs w:val="32"/>
        </w:rPr>
        <w:t>非产业园区公租房</w:t>
      </w:r>
      <w:r>
        <w:rPr>
          <w:rFonts w:hint="eastAsia" w:ascii="仿宋_GB2312" w:hAnsi="仿宋_GB2312" w:eastAsia="仿宋_GB2312" w:cs="仿宋_GB2312"/>
          <w:color w:val="auto"/>
          <w:sz w:val="32"/>
          <w:szCs w:val="32"/>
        </w:rPr>
        <w:t>，优先解决本市城镇户籍居民的住房保障需求；城区属政府所有的公租房，优先解决城区户籍居民的住房保障需求；各镇（街）政府所有的公租房，优先解决本镇（街）户籍人员的住房保障需求。</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（二）上文所述除特别说明外，“以下”、“低于”含本数，“以上”不含本数。</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（三）不</w:t>
      </w:r>
      <w:r>
        <w:rPr>
          <w:rFonts w:hint="eastAsia" w:ascii="仿宋_GB2312" w:hAnsi="仿宋_GB2312" w:eastAsia="仿宋_GB2312" w:cs="仿宋_GB2312"/>
          <w:color w:val="auto"/>
          <w:sz w:val="32"/>
          <w:szCs w:val="32"/>
          <w:lang w:val="en-US" w:eastAsia="zh-CN"/>
        </w:rPr>
        <w:t xml:space="preserve">符合条件的申请人隐瞒或者虚报人口、户籍、年龄、婚姻、收入、财产和住房等状况，或者采取不正当手段，申请保障房或者租赁补贴的，按《广东省城镇住房保障办法》的相关规定执行。 </w:t>
      </w:r>
    </w:p>
    <w:p>
      <w:pPr>
        <w:pageBreakBefore w:val="0"/>
        <w:widowControl w:val="0"/>
        <w:kinsoku/>
        <w:wordWrap/>
        <w:overflowPunct/>
        <w:topLinePunct w:val="0"/>
        <w:autoSpaceDE/>
        <w:autoSpaceDN/>
        <w:bidi w:val="0"/>
        <w:spacing w:line="574" w:lineRule="exact"/>
        <w:ind w:right="0" w:righ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）本规则自发布之日起施行，有效期3年，原《</w:t>
      </w:r>
      <w:r>
        <w:rPr>
          <w:rFonts w:hint="eastAsia" w:ascii="仿宋_GB2312" w:hAnsi="仿宋_GB2312" w:eastAsia="仿宋_GB2312" w:cs="仿宋_GB2312"/>
          <w:color w:val="auto"/>
          <w:spacing w:val="-6"/>
          <w:kern w:val="0"/>
          <w:sz w:val="32"/>
          <w:szCs w:val="32"/>
        </w:rPr>
        <w:t>中山市住房保障准入标准及轮候规则</w:t>
      </w:r>
      <w:r>
        <w:rPr>
          <w:rFonts w:hint="eastAsia" w:ascii="仿宋_GB2312" w:hAnsi="仿宋_GB2312" w:eastAsia="仿宋_GB2312" w:cs="仿宋_GB2312"/>
          <w:color w:val="auto"/>
          <w:sz w:val="32"/>
          <w:szCs w:val="32"/>
        </w:rPr>
        <w:t>》（中建〔2016〕26号）同时废止。</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hakuyoxingshu7000">
    <w:altName w:val="宋体"/>
    <w:panose1 w:val="02000600000000000000"/>
    <w:charset w:val="86"/>
    <w:family w:val="swiss"/>
    <w:pitch w:val="default"/>
    <w:sig w:usb0="00000000" w:usb1="00000000" w:usb2="0000003F" w:usb3="00000000" w:csb0="603F00FF" w:csb1="FFFF0000"/>
  </w:font>
  <w:font w:name="创艺简标宋">
    <w:panose1 w:val="00000000000000000000"/>
    <w:charset w:val="86"/>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简标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44BDC"/>
    <w:multiLevelType w:val="singleLevel"/>
    <w:tmpl w:val="60344BDC"/>
    <w:lvl w:ilvl="0" w:tentative="0">
      <w:start w:val="8"/>
      <w:numFmt w:val="decimal"/>
      <w:suff w:val="nothing"/>
      <w:lvlText w:val="（%1）"/>
      <w:lvlJc w:val="left"/>
    </w:lvl>
  </w:abstractNum>
  <w:abstractNum w:abstractNumId="1">
    <w:nsid w:val="603601F4"/>
    <w:multiLevelType w:val="singleLevel"/>
    <w:tmpl w:val="603601F4"/>
    <w:lvl w:ilvl="0" w:tentative="0">
      <w:start w:val="3"/>
      <w:numFmt w:val="decimal"/>
      <w:suff w:val="nothing"/>
      <w:lvlText w:val="（%1）"/>
      <w:lvlJc w:val="left"/>
    </w:lvl>
  </w:abstractNum>
  <w:abstractNum w:abstractNumId="2">
    <w:nsid w:val="603844C0"/>
    <w:multiLevelType w:val="singleLevel"/>
    <w:tmpl w:val="603844C0"/>
    <w:lvl w:ilvl="0" w:tentative="0">
      <w:start w:val="2"/>
      <w:numFmt w:val="chineseCounting"/>
      <w:suff w:val="nothing"/>
      <w:lvlText w:val="%1、"/>
      <w:lvlJc w:val="left"/>
    </w:lvl>
  </w:abstractNum>
  <w:abstractNum w:abstractNumId="3">
    <w:nsid w:val="67105D7A"/>
    <w:multiLevelType w:val="singleLevel"/>
    <w:tmpl w:val="67105D7A"/>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8F"/>
    <w:rsid w:val="0002346F"/>
    <w:rsid w:val="0002617F"/>
    <w:rsid w:val="00097A12"/>
    <w:rsid w:val="00132C8F"/>
    <w:rsid w:val="001D7C48"/>
    <w:rsid w:val="002D6064"/>
    <w:rsid w:val="003C2720"/>
    <w:rsid w:val="004D3088"/>
    <w:rsid w:val="004F2834"/>
    <w:rsid w:val="00514FAD"/>
    <w:rsid w:val="005B42DB"/>
    <w:rsid w:val="006D6DD3"/>
    <w:rsid w:val="00724DCE"/>
    <w:rsid w:val="007D41A4"/>
    <w:rsid w:val="007E1CBF"/>
    <w:rsid w:val="00B22B14"/>
    <w:rsid w:val="00B80FA6"/>
    <w:rsid w:val="00BF5201"/>
    <w:rsid w:val="00C128BD"/>
    <w:rsid w:val="00C53F77"/>
    <w:rsid w:val="00CD3F14"/>
    <w:rsid w:val="00D26051"/>
    <w:rsid w:val="00ED74DE"/>
    <w:rsid w:val="00F87665"/>
    <w:rsid w:val="00FD2426"/>
    <w:rsid w:val="01287C2E"/>
    <w:rsid w:val="01357EAF"/>
    <w:rsid w:val="01372F47"/>
    <w:rsid w:val="01AE0D10"/>
    <w:rsid w:val="01D57FB7"/>
    <w:rsid w:val="020B5E7C"/>
    <w:rsid w:val="02CF60D9"/>
    <w:rsid w:val="02DD5DFF"/>
    <w:rsid w:val="02F67809"/>
    <w:rsid w:val="02FA688E"/>
    <w:rsid w:val="038808B2"/>
    <w:rsid w:val="03DF7813"/>
    <w:rsid w:val="042E0669"/>
    <w:rsid w:val="04535E6C"/>
    <w:rsid w:val="04606024"/>
    <w:rsid w:val="04626587"/>
    <w:rsid w:val="04801D0E"/>
    <w:rsid w:val="04897DBB"/>
    <w:rsid w:val="04D51D92"/>
    <w:rsid w:val="04D54A7E"/>
    <w:rsid w:val="054857BC"/>
    <w:rsid w:val="05B14099"/>
    <w:rsid w:val="05BF1B8E"/>
    <w:rsid w:val="05ED0D7B"/>
    <w:rsid w:val="061F7581"/>
    <w:rsid w:val="064D19A8"/>
    <w:rsid w:val="06634F57"/>
    <w:rsid w:val="0671570D"/>
    <w:rsid w:val="06780A95"/>
    <w:rsid w:val="06897A8E"/>
    <w:rsid w:val="06C87CCA"/>
    <w:rsid w:val="070C41A5"/>
    <w:rsid w:val="074900B0"/>
    <w:rsid w:val="07BD5461"/>
    <w:rsid w:val="07C0266B"/>
    <w:rsid w:val="07FA464D"/>
    <w:rsid w:val="07FF0859"/>
    <w:rsid w:val="08381336"/>
    <w:rsid w:val="08381AF5"/>
    <w:rsid w:val="08871870"/>
    <w:rsid w:val="08B63DB5"/>
    <w:rsid w:val="09211078"/>
    <w:rsid w:val="09214EA7"/>
    <w:rsid w:val="09410323"/>
    <w:rsid w:val="094E44B2"/>
    <w:rsid w:val="09607FE5"/>
    <w:rsid w:val="0978302D"/>
    <w:rsid w:val="097B3F67"/>
    <w:rsid w:val="098F1AE3"/>
    <w:rsid w:val="09A06654"/>
    <w:rsid w:val="09EF5EAF"/>
    <w:rsid w:val="0A113AB7"/>
    <w:rsid w:val="0A2F2491"/>
    <w:rsid w:val="0A4C550B"/>
    <w:rsid w:val="0A6D1C91"/>
    <w:rsid w:val="0AE54DC0"/>
    <w:rsid w:val="0AF70331"/>
    <w:rsid w:val="0AFF40A4"/>
    <w:rsid w:val="0B6120CD"/>
    <w:rsid w:val="0B6A7D9A"/>
    <w:rsid w:val="0B7B4848"/>
    <w:rsid w:val="0B817B40"/>
    <w:rsid w:val="0B88398B"/>
    <w:rsid w:val="0BA65F68"/>
    <w:rsid w:val="0C3774D9"/>
    <w:rsid w:val="0C3B601C"/>
    <w:rsid w:val="0C4E7621"/>
    <w:rsid w:val="0C642B72"/>
    <w:rsid w:val="0C683E0F"/>
    <w:rsid w:val="0C7F5E40"/>
    <w:rsid w:val="0CAF65BC"/>
    <w:rsid w:val="0CB550AA"/>
    <w:rsid w:val="0D071ACC"/>
    <w:rsid w:val="0D1166B7"/>
    <w:rsid w:val="0D884CD9"/>
    <w:rsid w:val="0DA47AE4"/>
    <w:rsid w:val="0DA8218A"/>
    <w:rsid w:val="0DCA60FE"/>
    <w:rsid w:val="0DCB05D8"/>
    <w:rsid w:val="0DF03D46"/>
    <w:rsid w:val="0ECC10E7"/>
    <w:rsid w:val="0ECF63F5"/>
    <w:rsid w:val="0ED47AC8"/>
    <w:rsid w:val="0F0E785F"/>
    <w:rsid w:val="0F2138AE"/>
    <w:rsid w:val="0F594498"/>
    <w:rsid w:val="0F7C1110"/>
    <w:rsid w:val="0F7F0ED3"/>
    <w:rsid w:val="0F803885"/>
    <w:rsid w:val="0F847E23"/>
    <w:rsid w:val="0FAE3071"/>
    <w:rsid w:val="0FCC5EF9"/>
    <w:rsid w:val="0FE974CF"/>
    <w:rsid w:val="0FF60397"/>
    <w:rsid w:val="0FFC0270"/>
    <w:rsid w:val="10043E95"/>
    <w:rsid w:val="10180A22"/>
    <w:rsid w:val="10252A27"/>
    <w:rsid w:val="10826617"/>
    <w:rsid w:val="10B1228A"/>
    <w:rsid w:val="10BB16FE"/>
    <w:rsid w:val="10D02407"/>
    <w:rsid w:val="11054957"/>
    <w:rsid w:val="110A5584"/>
    <w:rsid w:val="115D0F74"/>
    <w:rsid w:val="11757867"/>
    <w:rsid w:val="119468E5"/>
    <w:rsid w:val="11A64A69"/>
    <w:rsid w:val="11E56A43"/>
    <w:rsid w:val="11EB095B"/>
    <w:rsid w:val="120141E6"/>
    <w:rsid w:val="12066D06"/>
    <w:rsid w:val="126C1C74"/>
    <w:rsid w:val="12756EEF"/>
    <w:rsid w:val="12A77CAA"/>
    <w:rsid w:val="13385DFB"/>
    <w:rsid w:val="13426324"/>
    <w:rsid w:val="13993982"/>
    <w:rsid w:val="139963F1"/>
    <w:rsid w:val="13A1056A"/>
    <w:rsid w:val="14194F17"/>
    <w:rsid w:val="142810A2"/>
    <w:rsid w:val="14621D9D"/>
    <w:rsid w:val="14B2655F"/>
    <w:rsid w:val="14E81F4C"/>
    <w:rsid w:val="150112C2"/>
    <w:rsid w:val="151B60A2"/>
    <w:rsid w:val="15274C1C"/>
    <w:rsid w:val="15471E30"/>
    <w:rsid w:val="158B5072"/>
    <w:rsid w:val="166125B6"/>
    <w:rsid w:val="16DD36AE"/>
    <w:rsid w:val="17466F9D"/>
    <w:rsid w:val="178442F1"/>
    <w:rsid w:val="17967B9E"/>
    <w:rsid w:val="17B40B77"/>
    <w:rsid w:val="185902C0"/>
    <w:rsid w:val="186B650D"/>
    <w:rsid w:val="188147F2"/>
    <w:rsid w:val="18BC51D4"/>
    <w:rsid w:val="18DF76EE"/>
    <w:rsid w:val="18FC425F"/>
    <w:rsid w:val="198F455F"/>
    <w:rsid w:val="19A92EFD"/>
    <w:rsid w:val="19D40E16"/>
    <w:rsid w:val="19D63386"/>
    <w:rsid w:val="19DE749A"/>
    <w:rsid w:val="19F03CC6"/>
    <w:rsid w:val="1A1622CF"/>
    <w:rsid w:val="1A254ABB"/>
    <w:rsid w:val="1A4428D9"/>
    <w:rsid w:val="1AC132B1"/>
    <w:rsid w:val="1AC56A16"/>
    <w:rsid w:val="1ACF32BF"/>
    <w:rsid w:val="1AEE659F"/>
    <w:rsid w:val="1AF51A97"/>
    <w:rsid w:val="1B007514"/>
    <w:rsid w:val="1B013DAB"/>
    <w:rsid w:val="1B5177ED"/>
    <w:rsid w:val="1B825F32"/>
    <w:rsid w:val="1B8338AB"/>
    <w:rsid w:val="1BEE29D9"/>
    <w:rsid w:val="1C0C1824"/>
    <w:rsid w:val="1C1B75DF"/>
    <w:rsid w:val="1C63212A"/>
    <w:rsid w:val="1C6B3628"/>
    <w:rsid w:val="1C6F7E76"/>
    <w:rsid w:val="1C86027A"/>
    <w:rsid w:val="1CBD2639"/>
    <w:rsid w:val="1CCC17C2"/>
    <w:rsid w:val="1CD228A2"/>
    <w:rsid w:val="1D1001AC"/>
    <w:rsid w:val="1D141AC9"/>
    <w:rsid w:val="1D1A6E71"/>
    <w:rsid w:val="1D425C0B"/>
    <w:rsid w:val="1D5F41C0"/>
    <w:rsid w:val="1D76091E"/>
    <w:rsid w:val="1DB46DD4"/>
    <w:rsid w:val="1DCB747C"/>
    <w:rsid w:val="1DD9470E"/>
    <w:rsid w:val="1DE20F7B"/>
    <w:rsid w:val="1E303D3F"/>
    <w:rsid w:val="1E792D7D"/>
    <w:rsid w:val="1E915999"/>
    <w:rsid w:val="1EA4011E"/>
    <w:rsid w:val="1EBE5AC8"/>
    <w:rsid w:val="1EDA3CF8"/>
    <w:rsid w:val="1F0F33D3"/>
    <w:rsid w:val="1F3F7EA4"/>
    <w:rsid w:val="1F5E0177"/>
    <w:rsid w:val="1F811BC2"/>
    <w:rsid w:val="1FA27974"/>
    <w:rsid w:val="1FC16ECD"/>
    <w:rsid w:val="201B7AE1"/>
    <w:rsid w:val="20360BA2"/>
    <w:rsid w:val="20402098"/>
    <w:rsid w:val="20466C46"/>
    <w:rsid w:val="204754BF"/>
    <w:rsid w:val="206775F0"/>
    <w:rsid w:val="208D44E9"/>
    <w:rsid w:val="20AA43F1"/>
    <w:rsid w:val="20C56913"/>
    <w:rsid w:val="20D11CDC"/>
    <w:rsid w:val="20F03477"/>
    <w:rsid w:val="21492460"/>
    <w:rsid w:val="21545FDA"/>
    <w:rsid w:val="21C237E0"/>
    <w:rsid w:val="220D5A26"/>
    <w:rsid w:val="22346B15"/>
    <w:rsid w:val="22CE3E42"/>
    <w:rsid w:val="22FC7689"/>
    <w:rsid w:val="22FD5B1D"/>
    <w:rsid w:val="230723DD"/>
    <w:rsid w:val="23154A51"/>
    <w:rsid w:val="235A3127"/>
    <w:rsid w:val="23693026"/>
    <w:rsid w:val="237820D4"/>
    <w:rsid w:val="237C6347"/>
    <w:rsid w:val="23B97E8D"/>
    <w:rsid w:val="23D73E2D"/>
    <w:rsid w:val="23EE7E06"/>
    <w:rsid w:val="23F41A52"/>
    <w:rsid w:val="24171025"/>
    <w:rsid w:val="24624047"/>
    <w:rsid w:val="247A4B02"/>
    <w:rsid w:val="2489763B"/>
    <w:rsid w:val="248A7BF8"/>
    <w:rsid w:val="24CE6FF7"/>
    <w:rsid w:val="24D26947"/>
    <w:rsid w:val="24FD2E9E"/>
    <w:rsid w:val="252C7098"/>
    <w:rsid w:val="255A4016"/>
    <w:rsid w:val="25672794"/>
    <w:rsid w:val="25785E28"/>
    <w:rsid w:val="258E4BA5"/>
    <w:rsid w:val="25E7453C"/>
    <w:rsid w:val="262248D6"/>
    <w:rsid w:val="264169EA"/>
    <w:rsid w:val="264819AC"/>
    <w:rsid w:val="266A29BE"/>
    <w:rsid w:val="26742C75"/>
    <w:rsid w:val="2680354D"/>
    <w:rsid w:val="26A97620"/>
    <w:rsid w:val="26B40382"/>
    <w:rsid w:val="26B77594"/>
    <w:rsid w:val="26DC64D8"/>
    <w:rsid w:val="270A1379"/>
    <w:rsid w:val="27197826"/>
    <w:rsid w:val="27537165"/>
    <w:rsid w:val="276C4672"/>
    <w:rsid w:val="27914FE7"/>
    <w:rsid w:val="27A96826"/>
    <w:rsid w:val="27C546C7"/>
    <w:rsid w:val="27CD62A8"/>
    <w:rsid w:val="283071AB"/>
    <w:rsid w:val="284918CB"/>
    <w:rsid w:val="28566EA1"/>
    <w:rsid w:val="28B670B1"/>
    <w:rsid w:val="28CC452B"/>
    <w:rsid w:val="28ED11C6"/>
    <w:rsid w:val="29086A07"/>
    <w:rsid w:val="290B360A"/>
    <w:rsid w:val="295E2A71"/>
    <w:rsid w:val="2961709B"/>
    <w:rsid w:val="29A575CF"/>
    <w:rsid w:val="29AE70DA"/>
    <w:rsid w:val="29E831F4"/>
    <w:rsid w:val="2A7A2EA6"/>
    <w:rsid w:val="2A9A54AF"/>
    <w:rsid w:val="2ACE3DB7"/>
    <w:rsid w:val="2AEC16E0"/>
    <w:rsid w:val="2B001494"/>
    <w:rsid w:val="2B310CFB"/>
    <w:rsid w:val="2B3D73D4"/>
    <w:rsid w:val="2BC417E8"/>
    <w:rsid w:val="2BE91FE9"/>
    <w:rsid w:val="2C984F5C"/>
    <w:rsid w:val="2CAA6D71"/>
    <w:rsid w:val="2CB071D5"/>
    <w:rsid w:val="2CBE6FD5"/>
    <w:rsid w:val="2CD14841"/>
    <w:rsid w:val="2D561DC1"/>
    <w:rsid w:val="2D5F7454"/>
    <w:rsid w:val="2D7045B6"/>
    <w:rsid w:val="2DB01049"/>
    <w:rsid w:val="2DF1445C"/>
    <w:rsid w:val="2E2B461C"/>
    <w:rsid w:val="2E4A2C03"/>
    <w:rsid w:val="2E8873A6"/>
    <w:rsid w:val="2E8F62D6"/>
    <w:rsid w:val="2E9E78F7"/>
    <w:rsid w:val="2ED32175"/>
    <w:rsid w:val="2EE62C50"/>
    <w:rsid w:val="2F090A2F"/>
    <w:rsid w:val="2F3D01AA"/>
    <w:rsid w:val="2F467217"/>
    <w:rsid w:val="2F6D768E"/>
    <w:rsid w:val="2F76229E"/>
    <w:rsid w:val="2FB3306B"/>
    <w:rsid w:val="301A3DB0"/>
    <w:rsid w:val="302853A9"/>
    <w:rsid w:val="309440C9"/>
    <w:rsid w:val="30A075AC"/>
    <w:rsid w:val="30AD1131"/>
    <w:rsid w:val="30F25CAC"/>
    <w:rsid w:val="30F86373"/>
    <w:rsid w:val="30FF4263"/>
    <w:rsid w:val="3187651B"/>
    <w:rsid w:val="321A39C4"/>
    <w:rsid w:val="32312A56"/>
    <w:rsid w:val="323241EA"/>
    <w:rsid w:val="3261575B"/>
    <w:rsid w:val="326F4583"/>
    <w:rsid w:val="327E2A84"/>
    <w:rsid w:val="32BC70B0"/>
    <w:rsid w:val="32BD17F5"/>
    <w:rsid w:val="32BE0CEC"/>
    <w:rsid w:val="32DE62E9"/>
    <w:rsid w:val="32E2294C"/>
    <w:rsid w:val="32F63B67"/>
    <w:rsid w:val="334D52BD"/>
    <w:rsid w:val="334F27B7"/>
    <w:rsid w:val="33736815"/>
    <w:rsid w:val="340014F6"/>
    <w:rsid w:val="34041391"/>
    <w:rsid w:val="34275FFC"/>
    <w:rsid w:val="34287951"/>
    <w:rsid w:val="34384F50"/>
    <w:rsid w:val="3463625B"/>
    <w:rsid w:val="349A1A9C"/>
    <w:rsid w:val="34C1201D"/>
    <w:rsid w:val="34CC4F61"/>
    <w:rsid w:val="34D23720"/>
    <w:rsid w:val="34EF365C"/>
    <w:rsid w:val="35271079"/>
    <w:rsid w:val="35422D04"/>
    <w:rsid w:val="35536BA7"/>
    <w:rsid w:val="356201C8"/>
    <w:rsid w:val="357936F2"/>
    <w:rsid w:val="35A11FED"/>
    <w:rsid w:val="367168F6"/>
    <w:rsid w:val="36767D37"/>
    <w:rsid w:val="367B40E3"/>
    <w:rsid w:val="36AB44FE"/>
    <w:rsid w:val="36B60C88"/>
    <w:rsid w:val="36E05FC8"/>
    <w:rsid w:val="36E16B89"/>
    <w:rsid w:val="36F37A5A"/>
    <w:rsid w:val="36FC1DF2"/>
    <w:rsid w:val="374A5615"/>
    <w:rsid w:val="37A01BEA"/>
    <w:rsid w:val="37C63AC0"/>
    <w:rsid w:val="37EE70C7"/>
    <w:rsid w:val="37F257BD"/>
    <w:rsid w:val="380411B5"/>
    <w:rsid w:val="380B6F25"/>
    <w:rsid w:val="38447FB3"/>
    <w:rsid w:val="38540E56"/>
    <w:rsid w:val="386838F5"/>
    <w:rsid w:val="387F4F1A"/>
    <w:rsid w:val="38A450AD"/>
    <w:rsid w:val="39016A6A"/>
    <w:rsid w:val="390767E1"/>
    <w:rsid w:val="393808EE"/>
    <w:rsid w:val="39416AB5"/>
    <w:rsid w:val="397811F9"/>
    <w:rsid w:val="39915F5E"/>
    <w:rsid w:val="39E27FCE"/>
    <w:rsid w:val="3A1F7D6B"/>
    <w:rsid w:val="3A3A4689"/>
    <w:rsid w:val="3A477554"/>
    <w:rsid w:val="3A480FA5"/>
    <w:rsid w:val="3A995895"/>
    <w:rsid w:val="3ABA5F1D"/>
    <w:rsid w:val="3AC50B92"/>
    <w:rsid w:val="3AE076C5"/>
    <w:rsid w:val="3B28711C"/>
    <w:rsid w:val="3B475842"/>
    <w:rsid w:val="3BEE4821"/>
    <w:rsid w:val="3C1704C4"/>
    <w:rsid w:val="3C5F2F62"/>
    <w:rsid w:val="3C8C37D9"/>
    <w:rsid w:val="3D536BCF"/>
    <w:rsid w:val="3D82764D"/>
    <w:rsid w:val="3DB32784"/>
    <w:rsid w:val="3DC23351"/>
    <w:rsid w:val="3DC632A5"/>
    <w:rsid w:val="3DD73525"/>
    <w:rsid w:val="3DE65C6E"/>
    <w:rsid w:val="3DEE06E3"/>
    <w:rsid w:val="3E0D7D44"/>
    <w:rsid w:val="3E14642D"/>
    <w:rsid w:val="3E3B7643"/>
    <w:rsid w:val="3E5D6901"/>
    <w:rsid w:val="3E7F3B7C"/>
    <w:rsid w:val="3E870E76"/>
    <w:rsid w:val="3E88435A"/>
    <w:rsid w:val="3EC1465B"/>
    <w:rsid w:val="3EC732A4"/>
    <w:rsid w:val="3EFB40CF"/>
    <w:rsid w:val="3F052D02"/>
    <w:rsid w:val="3F290E03"/>
    <w:rsid w:val="3F394D6C"/>
    <w:rsid w:val="3F8E7A81"/>
    <w:rsid w:val="3FE8478C"/>
    <w:rsid w:val="400803AA"/>
    <w:rsid w:val="40107BF8"/>
    <w:rsid w:val="401125BE"/>
    <w:rsid w:val="404F5D33"/>
    <w:rsid w:val="40EA6C99"/>
    <w:rsid w:val="40F87D75"/>
    <w:rsid w:val="415C6CC0"/>
    <w:rsid w:val="41925379"/>
    <w:rsid w:val="41925E68"/>
    <w:rsid w:val="42073EB8"/>
    <w:rsid w:val="4243356F"/>
    <w:rsid w:val="42A022A6"/>
    <w:rsid w:val="42BC58E6"/>
    <w:rsid w:val="43643DA2"/>
    <w:rsid w:val="4386519E"/>
    <w:rsid w:val="43CE64F6"/>
    <w:rsid w:val="44266F15"/>
    <w:rsid w:val="442C00B7"/>
    <w:rsid w:val="44326EE8"/>
    <w:rsid w:val="44345FDB"/>
    <w:rsid w:val="44496F86"/>
    <w:rsid w:val="44650DC1"/>
    <w:rsid w:val="44714B5B"/>
    <w:rsid w:val="449A59CE"/>
    <w:rsid w:val="44AA3697"/>
    <w:rsid w:val="44B42879"/>
    <w:rsid w:val="44D424C6"/>
    <w:rsid w:val="45492414"/>
    <w:rsid w:val="458F1CA8"/>
    <w:rsid w:val="459E2D8A"/>
    <w:rsid w:val="459F52C6"/>
    <w:rsid w:val="45A9787A"/>
    <w:rsid w:val="463056EA"/>
    <w:rsid w:val="46626D17"/>
    <w:rsid w:val="46AF44D4"/>
    <w:rsid w:val="46BB7DF3"/>
    <w:rsid w:val="46C4101F"/>
    <w:rsid w:val="46FC4B83"/>
    <w:rsid w:val="470725BB"/>
    <w:rsid w:val="47103E78"/>
    <w:rsid w:val="47302DCC"/>
    <w:rsid w:val="474A4AFC"/>
    <w:rsid w:val="475B6D27"/>
    <w:rsid w:val="48122721"/>
    <w:rsid w:val="48160A02"/>
    <w:rsid w:val="48371572"/>
    <w:rsid w:val="4840290A"/>
    <w:rsid w:val="48B05A5C"/>
    <w:rsid w:val="48CF420F"/>
    <w:rsid w:val="48D87256"/>
    <w:rsid w:val="48F3711A"/>
    <w:rsid w:val="48F46990"/>
    <w:rsid w:val="496B382E"/>
    <w:rsid w:val="499F3BB4"/>
    <w:rsid w:val="49E04DE6"/>
    <w:rsid w:val="49F25106"/>
    <w:rsid w:val="4A04345F"/>
    <w:rsid w:val="4A7A12F6"/>
    <w:rsid w:val="4AE53B60"/>
    <w:rsid w:val="4AF83B31"/>
    <w:rsid w:val="4B122F3D"/>
    <w:rsid w:val="4B2F46CF"/>
    <w:rsid w:val="4B874207"/>
    <w:rsid w:val="4BC27383"/>
    <w:rsid w:val="4BEF1434"/>
    <w:rsid w:val="4BF44FCC"/>
    <w:rsid w:val="4BFB56F4"/>
    <w:rsid w:val="4C007235"/>
    <w:rsid w:val="4C3D74F2"/>
    <w:rsid w:val="4C5B0F1F"/>
    <w:rsid w:val="4C8D322F"/>
    <w:rsid w:val="4C94015B"/>
    <w:rsid w:val="4CB248CA"/>
    <w:rsid w:val="4D4514B8"/>
    <w:rsid w:val="4D4A534F"/>
    <w:rsid w:val="4D8708A5"/>
    <w:rsid w:val="4D8C6274"/>
    <w:rsid w:val="4DB76666"/>
    <w:rsid w:val="4DCB6481"/>
    <w:rsid w:val="4DCD3949"/>
    <w:rsid w:val="4DF00EB6"/>
    <w:rsid w:val="4E036B11"/>
    <w:rsid w:val="4E044482"/>
    <w:rsid w:val="4E286D26"/>
    <w:rsid w:val="4E344A68"/>
    <w:rsid w:val="4E79277B"/>
    <w:rsid w:val="4E7F6C66"/>
    <w:rsid w:val="4EC853BC"/>
    <w:rsid w:val="4F042786"/>
    <w:rsid w:val="4F465EA9"/>
    <w:rsid w:val="4F4F466E"/>
    <w:rsid w:val="4F511351"/>
    <w:rsid w:val="4F5B7513"/>
    <w:rsid w:val="4F633D82"/>
    <w:rsid w:val="4F8D05ED"/>
    <w:rsid w:val="4FB0049D"/>
    <w:rsid w:val="4FC5745A"/>
    <w:rsid w:val="4FF37969"/>
    <w:rsid w:val="500921F6"/>
    <w:rsid w:val="503E56FA"/>
    <w:rsid w:val="50536AFB"/>
    <w:rsid w:val="508D2180"/>
    <w:rsid w:val="508E2A26"/>
    <w:rsid w:val="510F0335"/>
    <w:rsid w:val="51125734"/>
    <w:rsid w:val="5151514C"/>
    <w:rsid w:val="515E70EA"/>
    <w:rsid w:val="5162759C"/>
    <w:rsid w:val="51633BCA"/>
    <w:rsid w:val="517B336C"/>
    <w:rsid w:val="5191400E"/>
    <w:rsid w:val="519F7E05"/>
    <w:rsid w:val="51F420CB"/>
    <w:rsid w:val="522741A6"/>
    <w:rsid w:val="522D149B"/>
    <w:rsid w:val="522F0A1F"/>
    <w:rsid w:val="523478D2"/>
    <w:rsid w:val="523A62D6"/>
    <w:rsid w:val="527F4791"/>
    <w:rsid w:val="533315B2"/>
    <w:rsid w:val="534D245D"/>
    <w:rsid w:val="53BE7CD0"/>
    <w:rsid w:val="53BF208A"/>
    <w:rsid w:val="544E7953"/>
    <w:rsid w:val="546A4EC9"/>
    <w:rsid w:val="546B3D49"/>
    <w:rsid w:val="54A17C89"/>
    <w:rsid w:val="5518781F"/>
    <w:rsid w:val="5594370F"/>
    <w:rsid w:val="563611E1"/>
    <w:rsid w:val="568765C2"/>
    <w:rsid w:val="56D34130"/>
    <w:rsid w:val="56DB0181"/>
    <w:rsid w:val="57465FBF"/>
    <w:rsid w:val="574E3F86"/>
    <w:rsid w:val="578E0BDD"/>
    <w:rsid w:val="57C6158A"/>
    <w:rsid w:val="57C8455A"/>
    <w:rsid w:val="57EF52A7"/>
    <w:rsid w:val="580B7776"/>
    <w:rsid w:val="580E33C1"/>
    <w:rsid w:val="581759D3"/>
    <w:rsid w:val="582D3981"/>
    <w:rsid w:val="58465384"/>
    <w:rsid w:val="584D5AED"/>
    <w:rsid w:val="58D81274"/>
    <w:rsid w:val="592D1E29"/>
    <w:rsid w:val="59404C99"/>
    <w:rsid w:val="59554B29"/>
    <w:rsid w:val="596133A8"/>
    <w:rsid w:val="59B67E26"/>
    <w:rsid w:val="59B91353"/>
    <w:rsid w:val="59E4452F"/>
    <w:rsid w:val="59F32A84"/>
    <w:rsid w:val="59FC5782"/>
    <w:rsid w:val="5A5953C6"/>
    <w:rsid w:val="5A78187C"/>
    <w:rsid w:val="5AE659FB"/>
    <w:rsid w:val="5C0C0E18"/>
    <w:rsid w:val="5C1E4537"/>
    <w:rsid w:val="5C3F286F"/>
    <w:rsid w:val="5C441EF2"/>
    <w:rsid w:val="5C6565A3"/>
    <w:rsid w:val="5C843046"/>
    <w:rsid w:val="5CAD7E21"/>
    <w:rsid w:val="5CB109B1"/>
    <w:rsid w:val="5CDE3435"/>
    <w:rsid w:val="5D2F508A"/>
    <w:rsid w:val="5DCF79BC"/>
    <w:rsid w:val="5DE0364C"/>
    <w:rsid w:val="5DF61C63"/>
    <w:rsid w:val="5E0739BA"/>
    <w:rsid w:val="5E4A54C8"/>
    <w:rsid w:val="5E5815DF"/>
    <w:rsid w:val="5E812754"/>
    <w:rsid w:val="5E993E55"/>
    <w:rsid w:val="5EBA12BE"/>
    <w:rsid w:val="5ECE6BA2"/>
    <w:rsid w:val="5ED31D9B"/>
    <w:rsid w:val="5EE77318"/>
    <w:rsid w:val="5F06204E"/>
    <w:rsid w:val="5F1976D5"/>
    <w:rsid w:val="5F4720B4"/>
    <w:rsid w:val="5FAD436A"/>
    <w:rsid w:val="5FDD3B46"/>
    <w:rsid w:val="607B10AD"/>
    <w:rsid w:val="60827709"/>
    <w:rsid w:val="60AF158D"/>
    <w:rsid w:val="60E23F94"/>
    <w:rsid w:val="60E42B60"/>
    <w:rsid w:val="6106664F"/>
    <w:rsid w:val="616C0099"/>
    <w:rsid w:val="616E7573"/>
    <w:rsid w:val="62243B59"/>
    <w:rsid w:val="62356BFE"/>
    <w:rsid w:val="62381216"/>
    <w:rsid w:val="627439BD"/>
    <w:rsid w:val="627F3280"/>
    <w:rsid w:val="62BD7764"/>
    <w:rsid w:val="63602D9D"/>
    <w:rsid w:val="63867800"/>
    <w:rsid w:val="63BF5A24"/>
    <w:rsid w:val="63C679C0"/>
    <w:rsid w:val="63F23A62"/>
    <w:rsid w:val="64236E48"/>
    <w:rsid w:val="64971DC8"/>
    <w:rsid w:val="649A55F0"/>
    <w:rsid w:val="64B2696E"/>
    <w:rsid w:val="65253A1D"/>
    <w:rsid w:val="656960D3"/>
    <w:rsid w:val="657B065E"/>
    <w:rsid w:val="6592340A"/>
    <w:rsid w:val="65A4306F"/>
    <w:rsid w:val="65AF77E6"/>
    <w:rsid w:val="65DC501A"/>
    <w:rsid w:val="65F92948"/>
    <w:rsid w:val="6643431C"/>
    <w:rsid w:val="666C300D"/>
    <w:rsid w:val="667C114D"/>
    <w:rsid w:val="66843FDC"/>
    <w:rsid w:val="66923269"/>
    <w:rsid w:val="66C77CAF"/>
    <w:rsid w:val="66E62D07"/>
    <w:rsid w:val="66F51E5C"/>
    <w:rsid w:val="6710309F"/>
    <w:rsid w:val="67112493"/>
    <w:rsid w:val="671F676E"/>
    <w:rsid w:val="673C48DF"/>
    <w:rsid w:val="6776191E"/>
    <w:rsid w:val="67EA3BD3"/>
    <w:rsid w:val="67F46046"/>
    <w:rsid w:val="68157154"/>
    <w:rsid w:val="6828703B"/>
    <w:rsid w:val="6857062E"/>
    <w:rsid w:val="688D29F9"/>
    <w:rsid w:val="691416C0"/>
    <w:rsid w:val="69170ACC"/>
    <w:rsid w:val="693C336F"/>
    <w:rsid w:val="698809D1"/>
    <w:rsid w:val="69927D5D"/>
    <w:rsid w:val="69BE252C"/>
    <w:rsid w:val="69E4186A"/>
    <w:rsid w:val="69FE6F7E"/>
    <w:rsid w:val="6A38155D"/>
    <w:rsid w:val="6A7A22CB"/>
    <w:rsid w:val="6AC3288E"/>
    <w:rsid w:val="6AC54319"/>
    <w:rsid w:val="6AD26C9E"/>
    <w:rsid w:val="6B013BB5"/>
    <w:rsid w:val="6B6B6236"/>
    <w:rsid w:val="6B7B0E6E"/>
    <w:rsid w:val="6BA14B85"/>
    <w:rsid w:val="6BA570F6"/>
    <w:rsid w:val="6BA62F39"/>
    <w:rsid w:val="6BD6478A"/>
    <w:rsid w:val="6BF31B25"/>
    <w:rsid w:val="6C1657BB"/>
    <w:rsid w:val="6C23365C"/>
    <w:rsid w:val="6C6D08BC"/>
    <w:rsid w:val="6C9F6AB2"/>
    <w:rsid w:val="6CBD5C99"/>
    <w:rsid w:val="6CE85738"/>
    <w:rsid w:val="6D021EE0"/>
    <w:rsid w:val="6D067B24"/>
    <w:rsid w:val="6D150116"/>
    <w:rsid w:val="6D1D1672"/>
    <w:rsid w:val="6D5A58BD"/>
    <w:rsid w:val="6D5D3FBE"/>
    <w:rsid w:val="6D7606C2"/>
    <w:rsid w:val="6D7F3A1B"/>
    <w:rsid w:val="6DC21A16"/>
    <w:rsid w:val="6E024F24"/>
    <w:rsid w:val="6E7F4174"/>
    <w:rsid w:val="6E807A2E"/>
    <w:rsid w:val="6E8120E0"/>
    <w:rsid w:val="6F08654B"/>
    <w:rsid w:val="6F842B7C"/>
    <w:rsid w:val="6F910D04"/>
    <w:rsid w:val="6F960E5C"/>
    <w:rsid w:val="6FCB6D53"/>
    <w:rsid w:val="6FF66218"/>
    <w:rsid w:val="6FFE0FC9"/>
    <w:rsid w:val="702F314E"/>
    <w:rsid w:val="70472897"/>
    <w:rsid w:val="7060575E"/>
    <w:rsid w:val="706D381E"/>
    <w:rsid w:val="70821CCC"/>
    <w:rsid w:val="70850552"/>
    <w:rsid w:val="70B92571"/>
    <w:rsid w:val="70D92C70"/>
    <w:rsid w:val="711B0FE6"/>
    <w:rsid w:val="711D2E6A"/>
    <w:rsid w:val="711E2300"/>
    <w:rsid w:val="718758BF"/>
    <w:rsid w:val="71953210"/>
    <w:rsid w:val="71962DF6"/>
    <w:rsid w:val="720B6A38"/>
    <w:rsid w:val="72154EDE"/>
    <w:rsid w:val="72B744C5"/>
    <w:rsid w:val="72BE690D"/>
    <w:rsid w:val="72C51E15"/>
    <w:rsid w:val="72CD2656"/>
    <w:rsid w:val="72F57969"/>
    <w:rsid w:val="73072456"/>
    <w:rsid w:val="732248AA"/>
    <w:rsid w:val="73622F1D"/>
    <w:rsid w:val="73640538"/>
    <w:rsid w:val="737378BB"/>
    <w:rsid w:val="73A378B6"/>
    <w:rsid w:val="73B927BF"/>
    <w:rsid w:val="73CD0FA1"/>
    <w:rsid w:val="73D2431E"/>
    <w:rsid w:val="7443600B"/>
    <w:rsid w:val="744F1F63"/>
    <w:rsid w:val="746676C1"/>
    <w:rsid w:val="74BE6035"/>
    <w:rsid w:val="74BF27BA"/>
    <w:rsid w:val="74C9568D"/>
    <w:rsid w:val="74D761C5"/>
    <w:rsid w:val="74D95C69"/>
    <w:rsid w:val="752F0027"/>
    <w:rsid w:val="754365E5"/>
    <w:rsid w:val="7552286F"/>
    <w:rsid w:val="755A072D"/>
    <w:rsid w:val="75662826"/>
    <w:rsid w:val="758E0639"/>
    <w:rsid w:val="759938F7"/>
    <w:rsid w:val="75AE7138"/>
    <w:rsid w:val="7621074A"/>
    <w:rsid w:val="76260325"/>
    <w:rsid w:val="7654553C"/>
    <w:rsid w:val="76CB3B70"/>
    <w:rsid w:val="77442294"/>
    <w:rsid w:val="77803EE5"/>
    <w:rsid w:val="77950B34"/>
    <w:rsid w:val="783148FC"/>
    <w:rsid w:val="7833198A"/>
    <w:rsid w:val="784B0CFC"/>
    <w:rsid w:val="786225DF"/>
    <w:rsid w:val="787150AA"/>
    <w:rsid w:val="787C25BC"/>
    <w:rsid w:val="78CC04C5"/>
    <w:rsid w:val="78DE3951"/>
    <w:rsid w:val="790710D8"/>
    <w:rsid w:val="790B1909"/>
    <w:rsid w:val="793A28AA"/>
    <w:rsid w:val="795743D5"/>
    <w:rsid w:val="7974715D"/>
    <w:rsid w:val="79870372"/>
    <w:rsid w:val="79BF7E84"/>
    <w:rsid w:val="79C04788"/>
    <w:rsid w:val="79D06BFD"/>
    <w:rsid w:val="79EF7495"/>
    <w:rsid w:val="7A0A24AF"/>
    <w:rsid w:val="7A2C7E89"/>
    <w:rsid w:val="7A4F40EB"/>
    <w:rsid w:val="7A5125C6"/>
    <w:rsid w:val="7A78571C"/>
    <w:rsid w:val="7AC62B9A"/>
    <w:rsid w:val="7BA82BC6"/>
    <w:rsid w:val="7BD433B7"/>
    <w:rsid w:val="7BE457D1"/>
    <w:rsid w:val="7BF17C3B"/>
    <w:rsid w:val="7BF36A7E"/>
    <w:rsid w:val="7BFC6542"/>
    <w:rsid w:val="7C20493C"/>
    <w:rsid w:val="7C7B5533"/>
    <w:rsid w:val="7C8C3879"/>
    <w:rsid w:val="7CBB1A2D"/>
    <w:rsid w:val="7CEE6A00"/>
    <w:rsid w:val="7D013869"/>
    <w:rsid w:val="7D2F726D"/>
    <w:rsid w:val="7DC02D2B"/>
    <w:rsid w:val="7DF2518A"/>
    <w:rsid w:val="7E36728B"/>
    <w:rsid w:val="7E543C3E"/>
    <w:rsid w:val="7E646D85"/>
    <w:rsid w:val="7E741BD2"/>
    <w:rsid w:val="7E810804"/>
    <w:rsid w:val="7ECB672B"/>
    <w:rsid w:val="7F0210E1"/>
    <w:rsid w:val="7F317994"/>
    <w:rsid w:val="7F5A7B28"/>
    <w:rsid w:val="7F7B18BB"/>
    <w:rsid w:val="7F7B40B2"/>
    <w:rsid w:val="7FD20C11"/>
    <w:rsid w:val="7FE16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10">
    <w:name w:val="标题 2 字符"/>
    <w:basedOn w:val="8"/>
    <w:link w:val="2"/>
    <w:qFormat/>
    <w:uiPriority w:val="9"/>
    <w:rPr>
      <w:rFonts w:asciiTheme="majorHAnsi" w:hAnsiTheme="majorHAnsi" w:eastAsiaTheme="majorEastAsia" w:cstheme="majorBidi"/>
      <w:b/>
      <w:bCs/>
      <w:sz w:val="32"/>
      <w:szCs w:val="32"/>
    </w:rPr>
  </w:style>
  <w:style w:type="character" w:customStyle="1" w:styleId="11">
    <w:name w:val="标题 1 字符"/>
    <w:basedOn w:val="8"/>
    <w:link w:val="3"/>
    <w:qFormat/>
    <w:uiPriority w:val="9"/>
    <w:rPr>
      <w:rFonts w:ascii="Times New Roman" w:hAnsi="Times New Roman" w:eastAsia="宋体" w:cs="Times New Roman"/>
      <w:b/>
      <w:bCs/>
      <w:kern w:val="44"/>
      <w:sz w:val="44"/>
      <w:szCs w:val="44"/>
    </w:rPr>
  </w:style>
  <w:style w:type="character" w:customStyle="1" w:styleId="12">
    <w:name w:val="标题 3 字符"/>
    <w:basedOn w:val="8"/>
    <w:link w:val="4"/>
    <w:qFormat/>
    <w:uiPriority w:val="9"/>
    <w:rPr>
      <w:rFonts w:ascii="Times New Roman" w:hAnsi="Times New Roman" w:eastAsia="宋体" w:cs="Times New Roman"/>
      <w:b/>
      <w:bCs/>
      <w:sz w:val="32"/>
      <w:szCs w:val="32"/>
    </w:rPr>
  </w:style>
  <w:style w:type="character" w:customStyle="1" w:styleId="13">
    <w:name w:val="标题 4 字符"/>
    <w:basedOn w:val="8"/>
    <w:link w:val="5"/>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905</Words>
  <Characters>5159</Characters>
  <Lines>42</Lines>
  <Paragraphs>12</Paragraphs>
  <TotalTime>39</TotalTime>
  <ScaleCrop>false</ScaleCrop>
  <LinksUpToDate>false</LinksUpToDate>
  <CharactersWithSpaces>6052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2020-12-28T07:35:00Z</dcterms:created>
  <dc:creator>骆 祥</dc:creator>
  <cp:lastModifiedBy>彭咏琪</cp:lastModifiedBy>
  <cp:lastPrinted>2021-03-10T00:44:00Z</cp:lastPrinted>
  <dcterms:modified xsi:type="dcterms:W3CDTF">2021-03-24T09:20:17Z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