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00" w:firstLineChars="1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物业管理区域疫情防控、房屋使用安全检查表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99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4584"/>
        <w:gridCol w:w="1440"/>
        <w:gridCol w:w="2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</w:t>
            </w:r>
          </w:p>
        </w:tc>
        <w:tc>
          <w:tcPr>
            <w:tcW w:w="45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检查内容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存在问题</w:t>
            </w:r>
          </w:p>
        </w:tc>
        <w:tc>
          <w:tcPr>
            <w:tcW w:w="27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问题描述及原因说明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疫情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防控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做好疫情防控的有关宣传工作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1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做好内部防控，防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疫物资充足，已建立疫情防控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急预案，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一线物业人员已进行核酸检测、疫苗接种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1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人员进入小区的体温检测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19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气象灾害防御</w:t>
            </w:r>
          </w:p>
        </w:tc>
        <w:tc>
          <w:tcPr>
            <w:tcW w:w="45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明确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气象灾害防御责任人和气象灾害应急管理人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做好防灾应急预案，组建应急抢险队伍，定期进行应急演练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1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做好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气象灾害风险排查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做好防雷设施设备的检测维护工作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，检查台账详尽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1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三防应急物资配备充足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高空坠物安全防范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定期开展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高空坠物风险排查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，检查台账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1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制定措施及时整改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安全隐患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，暂时无法整改的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设立警示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标识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设置围蔽设施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1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做好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高空抛物、坠物的危害宣传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19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房屋安全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使用监管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无违法违规居住场所以及共用部位违规搭建情况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1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设立电动自行车统一充点电，在醒目位置设置防火安全标识,无电动自行车 “进楼入户”“人车同屋”“飞线充电”等突出问题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1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做好消防安全设施设备维护，日常检查记录完善，消防设施设备完好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119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  <w:lang w:val="en-US" w:eastAsia="zh-CN" w:bidi="ar"/>
              </w:rPr>
              <w:t>做好电梯维护和保养年限的检查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792F"/>
    <w:rsid w:val="2CF93B1D"/>
    <w:rsid w:val="2EA32F07"/>
    <w:rsid w:val="47A96D7E"/>
    <w:rsid w:val="67E2792F"/>
    <w:rsid w:val="780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2021-06-16T08:46:00Z</dcterms:created>
  <dc:creator>关孝廷</dc:creator>
  <cp:lastModifiedBy>邓瑜</cp:lastModifiedBy>
  <dcterms:modified xsi:type="dcterms:W3CDTF">2021-06-18T04:17:42Z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