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宋体" w:eastAsia="黑体"/>
          <w:kern w:val="0"/>
          <w:sz w:val="32"/>
          <w:lang w:val="en-US" w:eastAsia="zh-CN"/>
        </w:rPr>
      </w:pPr>
      <w:r>
        <w:rPr>
          <w:rFonts w:hint="eastAsia" w:ascii="黑体" w:hAnsi="宋体" w:eastAsia="黑体"/>
          <w:kern w:val="0"/>
          <w:sz w:val="32"/>
        </w:rPr>
        <w:t>附件</w:t>
      </w:r>
      <w:r>
        <w:rPr>
          <w:rFonts w:hint="eastAsia" w:ascii="黑体" w:hAnsi="宋体" w:eastAsia="黑体"/>
          <w:kern w:val="0"/>
          <w:sz w:val="32"/>
          <w:lang w:val="en-US" w:eastAsia="zh-CN"/>
        </w:rPr>
        <w:t xml:space="preserve">3 </w:t>
      </w:r>
    </w:p>
    <w:p>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24"/>
              </w:rPr>
            </w:pPr>
            <w:r>
              <w:rPr>
                <w:rFonts w:hint="eastAsia" w:ascii="黑体" w:hAnsi="黑体" w:eastAsia="黑体"/>
                <w:kern w:val="0"/>
                <w:sz w:val="24"/>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center"/>
              <w:rPr>
                <w:rFonts w:hint="eastAsia" w:ascii="黑体" w:hAnsi="黑体" w:eastAsia="黑体"/>
                <w:kern w:val="0"/>
                <w:sz w:val="24"/>
              </w:rPr>
            </w:pPr>
            <w:r>
              <w:rPr>
                <w:rFonts w:hint="eastAsia" w:ascii="黑体" w:hAnsi="黑体" w:eastAsia="黑体"/>
                <w:kern w:val="0"/>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kern w:val="0"/>
                <w:sz w:val="24"/>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24"/>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布局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w:t>
            </w:r>
            <w:bookmarkStart w:id="0" w:name="_GoBack"/>
            <w:bookmarkEnd w:id="0"/>
            <w:r>
              <w:rPr>
                <w:rFonts w:hint="eastAsia" w:ascii="仿宋_GB2312" w:hAnsi="仿宋_GB2312"/>
                <w:color w:val="auto"/>
                <w:sz w:val="21"/>
              </w:rPr>
              <w:t>防护等级是否符合规定；平面布置、结构选型、通风、给水排水和供电照明等是否满足战备需求。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F223AF6"/>
    <w:rsid w:val="51D164F6"/>
    <w:rsid w:val="660D7B22"/>
    <w:rsid w:val="6645139F"/>
    <w:rsid w:val="7C721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2021-03-26T01:44:00Z</dcterms:created>
  <dc:creator>胡柏延</dc:creator>
  <cp:lastModifiedBy>zeos</cp:lastModifiedBy>
  <dcterms:modified xsi:type="dcterms:W3CDTF">2022-05-03T14:11:16Z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