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617220</wp:posOffset>
                </wp:positionV>
                <wp:extent cx="5962650" cy="635"/>
                <wp:effectExtent l="0" t="19050" r="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8.6pt;height:0.05pt;width:469.5pt;z-index:251659264;mso-width-relative:page;mso-height-relative:page;" filled="f" stroked="t" coordsize="21600,21600" o:gfxdata="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Nv3fbAAAACQEAAA8AAAAAAAAAAQAgAAAAIgAAAGRycy9kb3du&#10;cmV2LnhtbFBLAQIUABQAAAAIAIdO4kACKsLy/AEAAPMDAAAOAAAAAAAAAAEAIAAAACo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-313055</wp:posOffset>
                </wp:positionV>
                <wp:extent cx="867410" cy="438150"/>
                <wp:effectExtent l="0" t="0" r="889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hAnsi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5pt;margin-top:-24.65pt;height:34.5pt;width:68.3pt;z-index:251660288;mso-width-relative:page;mso-height-relative:page;" fillcolor="#FFFFFF" filled="t" stroked="f" coordsize="21600,21600" o:gfxdata="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V/f/2AAAAAoBAAAPAAAAAAAAAAEAIAAAACIAAABkcnMvZG93&#10;bnJldi54bWxQSwECFAAUAAAACACHTuJAoulGLMcBAACE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hAnsi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w:t>中山市住房和城乡建设局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574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中建函〔202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137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</w:rPr>
        <w:t>中山市住房城乡建设局关于市政协十三届</w:t>
      </w: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</w:rPr>
        <w:t>一次会议第131111号提案答复的函</w:t>
      </w:r>
    </w:p>
    <w:p>
      <w:pPr>
        <w:spacing w:beforeLines="0" w:afterLines="0" w:line="574" w:lineRule="exact"/>
        <w:rPr>
          <w:rFonts w:ascii="Times New Roman"/>
          <w:spacing w:val="0"/>
        </w:rPr>
      </w:pPr>
    </w:p>
    <w:p>
      <w:pPr>
        <w:spacing w:beforeLines="0" w:afterLines="0" w:line="574" w:lineRule="exact"/>
        <w:rPr>
          <w:rFonts w:ascii="Times New Roman"/>
          <w:spacing w:val="0"/>
          <w:szCs w:val="32"/>
        </w:rPr>
      </w:pPr>
      <w:r>
        <w:rPr>
          <w:rFonts w:hint="eastAsia" w:ascii="Times New Roman"/>
          <w:spacing w:val="0"/>
          <w:szCs w:val="32"/>
        </w:rPr>
        <w:t>陈天凌</w:t>
      </w:r>
      <w:r>
        <w:rPr>
          <w:rFonts w:ascii="Times New Roman"/>
          <w:spacing w:val="0"/>
          <w:szCs w:val="32"/>
        </w:rPr>
        <w:t>等</w:t>
      </w:r>
      <w:r>
        <w:rPr>
          <w:rFonts w:hint="eastAsia" w:ascii="Times New Roman"/>
          <w:spacing w:val="0"/>
          <w:szCs w:val="32"/>
        </w:rPr>
        <w:t>委员</w:t>
      </w:r>
      <w:r>
        <w:rPr>
          <w:rFonts w:ascii="Times New Roman"/>
          <w:spacing w:val="0"/>
          <w:szCs w:val="32"/>
        </w:rPr>
        <w:t>：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Times New Roman"/>
          <w:spacing w:val="0"/>
          <w:szCs w:val="32"/>
          <w:lang w:eastAsia="zh-CN"/>
        </w:rPr>
        <w:t>你</w:t>
      </w:r>
      <w:r>
        <w:rPr>
          <w:rFonts w:ascii="Times New Roman"/>
          <w:spacing w:val="0"/>
          <w:szCs w:val="32"/>
        </w:rPr>
        <w:t>们提出的</w:t>
      </w:r>
      <w:r>
        <w:rPr>
          <w:rFonts w:hint="eastAsia" w:ascii="Times New Roman"/>
          <w:spacing w:val="0"/>
          <w:szCs w:val="32"/>
        </w:rPr>
        <w:t>《关于多管齐下缓解“总口截污”的不利影响，助力打赢治水攻坚战的建议》（提案第131111号）</w:t>
      </w:r>
      <w:r>
        <w:rPr>
          <w:rFonts w:ascii="Times New Roman"/>
          <w:spacing w:val="0"/>
          <w:szCs w:val="32"/>
        </w:rPr>
        <w:t>收悉，经综合</w:t>
      </w:r>
      <w:r>
        <w:rPr>
          <w:rFonts w:hint="eastAsia" w:ascii="Times New Roman"/>
          <w:spacing w:val="0"/>
          <w:szCs w:val="32"/>
          <w:lang w:eastAsia="zh-CN"/>
        </w:rPr>
        <w:t>市</w:t>
      </w:r>
      <w:r>
        <w:rPr>
          <w:rFonts w:hint="eastAsia" w:ascii="Times New Roman"/>
          <w:spacing w:val="0"/>
          <w:szCs w:val="32"/>
        </w:rPr>
        <w:t>水务局、</w:t>
      </w:r>
      <w:r>
        <w:rPr>
          <w:rFonts w:hint="eastAsia" w:ascii="Times New Roman"/>
          <w:spacing w:val="0"/>
          <w:szCs w:val="32"/>
          <w:lang w:eastAsia="zh-CN"/>
        </w:rPr>
        <w:t>市</w:t>
      </w:r>
      <w:r>
        <w:rPr>
          <w:rFonts w:hint="eastAsia" w:ascii="Times New Roman"/>
          <w:spacing w:val="0"/>
          <w:szCs w:val="32"/>
        </w:rPr>
        <w:t>生态环境局、东区街道、西区街道、南区街道、石</w:t>
      </w:r>
      <w:r>
        <w:rPr>
          <w:rFonts w:hint="eastAsia" w:ascii="Times New Roman"/>
          <w:spacing w:val="0"/>
          <w:szCs w:val="32"/>
          <w:lang w:val="en-US" w:eastAsia="zh-CN"/>
        </w:rPr>
        <w:t>岐</w:t>
      </w:r>
      <w:r>
        <w:rPr>
          <w:rFonts w:hint="eastAsia" w:ascii="Times New Roman"/>
          <w:spacing w:val="0"/>
          <w:szCs w:val="32"/>
        </w:rPr>
        <w:t>街道、港口镇、沙溪镇、大涌镇</w:t>
      </w:r>
      <w:r>
        <w:rPr>
          <w:rFonts w:ascii="Times New Roman"/>
          <w:spacing w:val="0"/>
          <w:szCs w:val="32"/>
        </w:rPr>
        <w:t>意见，现答复如下：</w:t>
      </w:r>
    </w:p>
    <w:p>
      <w:pPr>
        <w:spacing w:beforeLines="0" w:afterLines="0" w:line="574" w:lineRule="exact"/>
        <w:ind w:firstLine="640" w:firstLineChars="200"/>
        <w:rPr>
          <w:rFonts w:hint="default" w:ascii="Times New Roman" w:eastAsia="仿宋_GB2312"/>
          <w:spacing w:val="0"/>
          <w:szCs w:val="32"/>
          <w:lang w:val="en-US" w:eastAsia="zh-CN"/>
        </w:rPr>
      </w:pPr>
      <w:r>
        <w:rPr>
          <w:rFonts w:hint="eastAsia" w:ascii="Times New Roman"/>
          <w:spacing w:val="0"/>
          <w:szCs w:val="32"/>
        </w:rPr>
        <w:t>为坚决贯彻落实党中央、国务院以及省委、省政府关于</w:t>
      </w:r>
      <w:r>
        <w:rPr>
          <w:rFonts w:hint="eastAsia" w:ascii="Times New Roman"/>
          <w:spacing w:val="0"/>
          <w:szCs w:val="32"/>
        </w:rPr>
        <w:t>生态环境保护督察</w:t>
      </w:r>
      <w:r>
        <w:rPr>
          <w:rFonts w:hint="eastAsia" w:ascii="Times New Roman"/>
          <w:spacing w:val="0"/>
          <w:szCs w:val="32"/>
          <w:lang w:eastAsia="zh-CN"/>
        </w:rPr>
        <w:t>的</w:t>
      </w:r>
      <w:r>
        <w:rPr>
          <w:rFonts w:hint="eastAsia" w:ascii="Times New Roman"/>
          <w:spacing w:val="0"/>
          <w:szCs w:val="32"/>
          <w:lang w:val="en-US" w:eastAsia="zh-CN"/>
        </w:rPr>
        <w:t>决策部署</w:t>
      </w:r>
      <w:r>
        <w:rPr>
          <w:rFonts w:hint="eastAsia" w:ascii="Times New Roman"/>
          <w:spacing w:val="0"/>
          <w:szCs w:val="32"/>
        </w:rPr>
        <w:t>，</w:t>
      </w:r>
      <w:r>
        <w:rPr>
          <w:rFonts w:hint="eastAsia" w:ascii="Times New Roman"/>
          <w:spacing w:val="0"/>
          <w:szCs w:val="32"/>
          <w:lang w:val="en-US" w:eastAsia="zh-CN"/>
        </w:rPr>
        <w:t>按照</w:t>
      </w:r>
      <w:r>
        <w:rPr>
          <w:rFonts w:hint="eastAsia" w:ascii="Times New Roman"/>
          <w:spacing w:val="0"/>
          <w:szCs w:val="32"/>
        </w:rPr>
        <w:t>市委市政府关于水污染治理总体工作方案</w:t>
      </w:r>
      <w:r>
        <w:rPr>
          <w:rFonts w:hint="eastAsia" w:ascii="Times New Roman"/>
          <w:spacing w:val="0"/>
          <w:szCs w:val="32"/>
          <w:lang w:val="en-US" w:eastAsia="zh-CN"/>
        </w:rPr>
        <w:t>要求</w:t>
      </w:r>
      <w:r>
        <w:rPr>
          <w:rFonts w:hint="eastAsia" w:ascii="Times New Roman"/>
          <w:spacing w:val="0"/>
          <w:szCs w:val="32"/>
        </w:rPr>
        <w:t>，</w:t>
      </w:r>
      <w:r>
        <w:rPr>
          <w:rFonts w:hint="eastAsia" w:ascii="Times New Roman"/>
          <w:spacing w:val="0"/>
          <w:szCs w:val="32"/>
          <w:lang w:val="en-US" w:eastAsia="zh-CN"/>
        </w:rPr>
        <w:t>市住房城乡建设</w:t>
      </w:r>
      <w:r>
        <w:rPr>
          <w:rFonts w:hint="eastAsia" w:ascii="Times New Roman"/>
          <w:spacing w:val="0"/>
          <w:szCs w:val="32"/>
        </w:rPr>
        <w:t>局牵头加快</w:t>
      </w:r>
      <w:r>
        <w:rPr>
          <w:rFonts w:hint="eastAsia" w:ascii="Times New Roman"/>
          <w:spacing w:val="0"/>
          <w:szCs w:val="32"/>
          <w:lang w:val="en-US" w:eastAsia="zh-CN"/>
        </w:rPr>
        <w:t>推进</w:t>
      </w:r>
      <w:r>
        <w:rPr>
          <w:rFonts w:hint="eastAsia" w:ascii="Times New Roman"/>
          <w:spacing w:val="0"/>
          <w:szCs w:val="32"/>
        </w:rPr>
        <w:t>中心组团</w:t>
      </w:r>
      <w:r>
        <w:rPr>
          <w:rFonts w:hint="eastAsia" w:ascii="Times New Roman"/>
          <w:spacing w:val="0"/>
          <w:szCs w:val="32"/>
          <w:lang w:val="en-US" w:eastAsia="zh-CN"/>
        </w:rPr>
        <w:t>未达标</w:t>
      </w:r>
      <w:r>
        <w:rPr>
          <w:rFonts w:hint="eastAsia" w:ascii="Times New Roman"/>
          <w:spacing w:val="0"/>
          <w:szCs w:val="32"/>
        </w:rPr>
        <w:t>水体整治</w:t>
      </w:r>
      <w:r>
        <w:rPr>
          <w:rFonts w:hint="eastAsia" w:ascii="Times New Roman"/>
          <w:spacing w:val="0"/>
          <w:szCs w:val="32"/>
          <w:lang w:eastAsia="zh-CN"/>
        </w:rPr>
        <w:t>，</w:t>
      </w:r>
      <w:r>
        <w:rPr>
          <w:rFonts w:hint="eastAsia" w:ascii="Times New Roman"/>
          <w:spacing w:val="0"/>
          <w:szCs w:val="32"/>
          <w:lang w:val="en-US" w:eastAsia="zh-CN"/>
        </w:rPr>
        <w:t>市水务局加快推进非中心组团未达标水体整治</w:t>
      </w:r>
      <w:r>
        <w:rPr>
          <w:rFonts w:hint="eastAsia" w:ascii="Times New Roman"/>
          <w:spacing w:val="0"/>
          <w:szCs w:val="32"/>
        </w:rPr>
        <w:t>。其中</w:t>
      </w:r>
      <w:r>
        <w:rPr>
          <w:rFonts w:ascii="Times New Roman"/>
          <w:spacing w:val="0"/>
          <w:szCs w:val="32"/>
        </w:rPr>
        <w:t>总口截污是第一阶段的截污方式</w:t>
      </w:r>
      <w:r>
        <w:rPr>
          <w:rFonts w:hint="eastAsia" w:ascii="Times New Roman"/>
          <w:spacing w:val="0"/>
          <w:szCs w:val="32"/>
        </w:rPr>
        <w:t>，远期</w:t>
      </w:r>
      <w:r>
        <w:rPr>
          <w:rFonts w:hint="eastAsia" w:ascii="Times New Roman"/>
          <w:spacing w:val="0"/>
          <w:szCs w:val="32"/>
          <w:lang w:val="en-US" w:eastAsia="zh-CN"/>
        </w:rPr>
        <w:t>将</w:t>
      </w:r>
      <w:r>
        <w:rPr>
          <w:rFonts w:hint="eastAsia" w:ascii="Times New Roman"/>
          <w:spacing w:val="0"/>
          <w:szCs w:val="32"/>
        </w:rPr>
        <w:t>采取控源截污</w:t>
      </w:r>
      <w:r>
        <w:rPr>
          <w:rFonts w:hint="eastAsia" w:ascii="Times New Roman"/>
          <w:spacing w:val="0"/>
          <w:szCs w:val="32"/>
          <w:lang w:val="en-US" w:eastAsia="zh-CN"/>
        </w:rPr>
        <w:t>措施，</w:t>
      </w:r>
      <w:r>
        <w:rPr>
          <w:rFonts w:hint="eastAsia" w:ascii="Times New Roman"/>
          <w:spacing w:val="0"/>
          <w:szCs w:val="32"/>
        </w:rPr>
        <w:t>推进雨污分流</w:t>
      </w:r>
      <w:r>
        <w:rPr>
          <w:rFonts w:hint="eastAsia" w:ascii="Times New Roman"/>
          <w:spacing w:val="0"/>
          <w:szCs w:val="32"/>
          <w:lang w:val="en-US" w:eastAsia="zh-CN"/>
        </w:rPr>
        <w:t>建设</w:t>
      </w:r>
      <w:r>
        <w:rPr>
          <w:rFonts w:hint="eastAsia" w:ascii="Times New Roman"/>
          <w:spacing w:val="0"/>
          <w:szCs w:val="32"/>
        </w:rPr>
        <w:t>，</w:t>
      </w:r>
      <w:r>
        <w:rPr>
          <w:rFonts w:hint="eastAsia" w:ascii="Times New Roman"/>
          <w:spacing w:val="0"/>
          <w:szCs w:val="32"/>
          <w:lang w:val="en-US" w:eastAsia="zh-CN"/>
        </w:rPr>
        <w:t>以</w:t>
      </w:r>
      <w:r>
        <w:rPr>
          <w:rFonts w:hint="eastAsia" w:ascii="Times New Roman"/>
          <w:spacing w:val="0"/>
          <w:szCs w:val="32"/>
        </w:rPr>
        <w:t>彻底打赢治水攻坚战。因此，在当前阶段，多措并举缓解“总口截污”不利影响至关重要</w:t>
      </w:r>
      <w:r>
        <w:rPr>
          <w:rFonts w:hint="eastAsia" w:ascii="Times New Roman"/>
          <w:spacing w:val="0"/>
          <w:szCs w:val="32"/>
          <w:lang w:val="en-US" w:eastAsia="zh-CN"/>
        </w:rPr>
        <w:t>，市住房城乡建设局及各会办单位结合治水工作实际，对相关建议予以吸收采纳。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一、关于“采用多重先进科技手段摸清暗渠底数”的建议</w:t>
      </w:r>
    </w:p>
    <w:p>
      <w:pPr>
        <w:pStyle w:val="2"/>
        <w:spacing w:beforeLines="0" w:after="0" w:afterLines="0"/>
        <w:ind w:firstLine="600"/>
        <w:rPr>
          <w:rFonts w:ascii="仿宋" w:hAnsi="仿宋" w:eastAsia="仿宋" w:cs="仿宋"/>
          <w:spacing w:val="0"/>
          <w:szCs w:val="32"/>
        </w:rPr>
      </w:pPr>
      <w:r>
        <w:rPr>
          <w:rFonts w:hint="eastAsia"/>
          <w:spacing w:val="0"/>
        </w:rPr>
        <w:t>在未达标水体整治工作中，暗渠的治理对于河涌水质的长期稳定提升至关重要，摸清暗渠底数是基础。当前较多暗渠上方或两侧建筑密集，暗渠内空间狭窄，检查口较少，污水排口不明</w:t>
      </w:r>
      <w:r>
        <w:rPr>
          <w:rFonts w:hint="eastAsia"/>
          <w:spacing w:val="0"/>
          <w:lang w:eastAsia="zh-CN"/>
        </w:rPr>
        <w:t>。</w:t>
      </w:r>
      <w:r>
        <w:rPr>
          <w:rFonts w:hint="eastAsia"/>
          <w:spacing w:val="0"/>
          <w:lang w:val="en-US" w:eastAsia="zh-CN"/>
        </w:rPr>
        <w:t>要对</w:t>
      </w:r>
      <w:r>
        <w:rPr>
          <w:rFonts w:hint="eastAsia"/>
          <w:spacing w:val="0"/>
        </w:rPr>
        <w:t>暗渠进行全面梳理，尤其是影响河涌水质的暗渠，</w:t>
      </w:r>
      <w:r>
        <w:rPr>
          <w:rFonts w:hint="eastAsia"/>
          <w:spacing w:val="0"/>
          <w:lang w:val="en-US" w:eastAsia="zh-CN"/>
        </w:rPr>
        <w:t>就要</w:t>
      </w:r>
      <w:r>
        <w:rPr>
          <w:rFonts w:hint="eastAsia"/>
          <w:spacing w:val="0"/>
        </w:rPr>
        <w:t>充分</w:t>
      </w:r>
      <w:r>
        <w:rPr>
          <w:rFonts w:hint="default"/>
          <w:spacing w:val="0"/>
          <w:lang w:val="en-US"/>
        </w:rPr>
        <w:t>利用</w:t>
      </w:r>
      <w:r>
        <w:rPr>
          <w:rFonts w:hint="eastAsia"/>
          <w:spacing w:val="0"/>
        </w:rPr>
        <w:t>科技手段分片</w:t>
      </w:r>
      <w:r>
        <w:rPr>
          <w:rFonts w:hint="eastAsia" w:ascii="仿宋" w:hAnsi="仿宋" w:eastAsia="仿宋" w:cs="仿宋"/>
          <w:spacing w:val="0"/>
          <w:szCs w:val="32"/>
        </w:rPr>
        <w:t>分段摸排，深入分析水系污染源产生和排放状况，明确重点污染源</w:t>
      </w:r>
      <w:r>
        <w:rPr>
          <w:rFonts w:hint="eastAsia" w:ascii="仿宋" w:hAnsi="仿宋" w:eastAsia="仿宋" w:cs="仿宋"/>
          <w:spacing w:val="0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pacing w:val="0"/>
          <w:szCs w:val="32"/>
        </w:rPr>
        <w:t>开展排口溯源分析，分类整治排污口，加强排污口水质检测。</w:t>
      </w:r>
    </w:p>
    <w:p>
      <w:pPr>
        <w:pStyle w:val="2"/>
        <w:spacing w:beforeLines="0" w:after="0" w:afterLines="0"/>
        <w:ind w:firstLine="600"/>
        <w:rPr>
          <w:rFonts w:ascii="仿宋" w:hAnsi="仿宋" w:eastAsia="仿宋" w:cs="仿宋"/>
          <w:spacing w:val="0"/>
          <w:szCs w:val="32"/>
        </w:rPr>
      </w:pP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截至</w:t>
      </w:r>
      <w:r>
        <w:rPr>
          <w:rFonts w:hint="eastAsia" w:ascii="仿宋" w:hAnsi="仿宋" w:eastAsia="仿宋" w:cs="仿宋"/>
          <w:spacing w:val="0"/>
          <w:szCs w:val="32"/>
        </w:rPr>
        <w:t>目前，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我市对</w:t>
      </w:r>
      <w:r>
        <w:rPr>
          <w:rFonts w:hint="eastAsia" w:ascii="仿宋" w:hAnsi="仿宋" w:eastAsia="仿宋" w:cs="仿宋"/>
          <w:spacing w:val="0"/>
          <w:szCs w:val="32"/>
        </w:rPr>
        <w:t>未达标水体共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摸查出</w:t>
      </w:r>
      <w:r>
        <w:rPr>
          <w:rFonts w:hint="eastAsia" w:ascii="仿宋" w:hAnsi="仿宋" w:eastAsia="仿宋" w:cs="仿宋"/>
          <w:spacing w:val="0"/>
          <w:szCs w:val="32"/>
        </w:rPr>
        <w:t>暗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渠</w:t>
      </w:r>
      <w:r>
        <w:rPr>
          <w:rFonts w:hint="eastAsia" w:ascii="仿宋" w:hAnsi="仿宋" w:eastAsia="仿宋" w:cs="仿宋"/>
          <w:spacing w:val="0"/>
          <w:szCs w:val="32"/>
        </w:rPr>
        <w:t>225条（段），共约120公里。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其中，市住房城乡建设局</w:t>
      </w:r>
      <w:r>
        <w:rPr>
          <w:rFonts w:hint="eastAsia" w:ascii="仿宋" w:hAnsi="仿宋" w:eastAsia="仿宋" w:cs="仿宋"/>
          <w:spacing w:val="0"/>
          <w:szCs w:val="32"/>
        </w:rPr>
        <w:t>已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pacing w:val="0"/>
          <w:szCs w:val="32"/>
        </w:rPr>
        <w:t>朗心四渠、莲兴涌、大滘涌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pacing w:val="0"/>
          <w:szCs w:val="32"/>
        </w:rPr>
        <w:t>央督重点河涌</w:t>
      </w:r>
      <w:r>
        <w:rPr>
          <w:rFonts w:hint="eastAsia" w:ascii="仿宋" w:hAnsi="仿宋" w:eastAsia="仿宋" w:cs="仿宋"/>
          <w:spacing w:val="0"/>
          <w:szCs w:val="32"/>
          <w:lang w:val="en-US" w:eastAsia="zh-CN"/>
        </w:rPr>
        <w:t>暗渠</w:t>
      </w:r>
      <w:r>
        <w:rPr>
          <w:rFonts w:hint="eastAsia" w:ascii="仿宋" w:hAnsi="仿宋" w:eastAsia="仿宋" w:cs="仿宋"/>
          <w:spacing w:val="0"/>
          <w:szCs w:val="32"/>
        </w:rPr>
        <w:t>摸查工作，并完成一渠一策编制论证，下一步将在市治水办的统筹下，按照各部门、各镇街责任分工加快覆盖暗渠落地实施整治工作。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二、关于“采用智能暗涵巡检机器人完成暗涵日常巡检工作”的建议</w:t>
      </w:r>
    </w:p>
    <w:p>
      <w:pPr>
        <w:pStyle w:val="2"/>
        <w:spacing w:beforeLines="0" w:after="0" w:afterLines="0"/>
        <w:ind w:firstLine="600"/>
        <w:rPr>
          <w:spacing w:val="0"/>
        </w:rPr>
      </w:pPr>
      <w:r>
        <w:rPr>
          <w:rFonts w:hint="eastAsia"/>
          <w:spacing w:val="0"/>
        </w:rPr>
        <w:t>在未达标水体整治工作中，充分利用科技手段，引入了智能暗涵巡检机器人。在中心组团</w:t>
      </w:r>
      <w:r>
        <w:rPr>
          <w:rFonts w:hint="eastAsia"/>
          <w:spacing w:val="0"/>
          <w:lang w:val="en-US" w:eastAsia="zh-CN"/>
        </w:rPr>
        <w:t>未达标</w:t>
      </w:r>
      <w:r>
        <w:rPr>
          <w:rFonts w:hint="eastAsia"/>
          <w:spacing w:val="0"/>
        </w:rPr>
        <w:t>水体暗渠摸查</w:t>
      </w:r>
      <w:r>
        <w:rPr>
          <w:rFonts w:hint="eastAsia"/>
          <w:spacing w:val="0"/>
          <w:lang w:val="en-US" w:eastAsia="zh-CN"/>
        </w:rPr>
        <w:t>工作</w:t>
      </w:r>
      <w:r>
        <w:rPr>
          <w:rFonts w:hint="eastAsia"/>
          <w:spacing w:val="0"/>
        </w:rPr>
        <w:t>中，委托有关技术团队，对莲心涌、大滘涌、宏基涌、张溪涌等</w:t>
      </w:r>
      <w:r>
        <w:rPr>
          <w:rFonts w:hint="eastAsia"/>
          <w:spacing w:val="0"/>
          <w:lang w:val="en-US" w:eastAsia="zh-CN"/>
        </w:rPr>
        <w:t>河涌</w:t>
      </w:r>
      <w:r>
        <w:rPr>
          <w:rFonts w:hint="eastAsia"/>
          <w:spacing w:val="0"/>
        </w:rPr>
        <w:t>暗渠采用了智能机器人摸查技术。根据暗</w:t>
      </w:r>
      <w:r>
        <w:rPr>
          <w:rFonts w:hint="eastAsia"/>
          <w:spacing w:val="0"/>
          <w:lang w:val="en-US" w:eastAsia="zh-CN"/>
        </w:rPr>
        <w:t>渠</w:t>
      </w:r>
      <w:r>
        <w:rPr>
          <w:rFonts w:hint="eastAsia"/>
          <w:spacing w:val="0"/>
        </w:rPr>
        <w:t>断面尺寸、含水量多少采用全地形机器人、声呐探测机器人等摸查暗</w:t>
      </w:r>
      <w:r>
        <w:rPr>
          <w:rFonts w:hint="eastAsia"/>
          <w:spacing w:val="0"/>
          <w:lang w:val="en-US" w:eastAsia="zh-CN"/>
        </w:rPr>
        <w:t>渠</w:t>
      </w:r>
      <w:r>
        <w:rPr>
          <w:rFonts w:hint="eastAsia"/>
          <w:spacing w:val="0"/>
        </w:rPr>
        <w:t>中的排口，进而根据结果向上溯源，取得了良好的成效。</w:t>
      </w:r>
      <w:r>
        <w:rPr>
          <w:rFonts w:hint="eastAsia"/>
          <w:spacing w:val="0"/>
          <w:lang w:val="en-US" w:eastAsia="zh-CN"/>
        </w:rPr>
        <w:t>市住房城乡建设局及各相关承办单位将在</w:t>
      </w:r>
      <w:r>
        <w:rPr>
          <w:rFonts w:hint="eastAsia"/>
          <w:spacing w:val="0"/>
        </w:rPr>
        <w:t>今后的暗涵巡检工作</w:t>
      </w:r>
      <w:r>
        <w:rPr>
          <w:rFonts w:hint="eastAsia"/>
          <w:spacing w:val="0"/>
          <w:lang w:eastAsia="zh-CN"/>
        </w:rPr>
        <w:t>中</w:t>
      </w:r>
      <w:r>
        <w:rPr>
          <w:rFonts w:hint="eastAsia"/>
          <w:spacing w:val="0"/>
        </w:rPr>
        <w:t>尽可能发挥高科技手段的作用。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三、关于“汛期前统一进行总口截污暗涵的清淤工作”的建议</w:t>
      </w:r>
    </w:p>
    <w:p>
      <w:pPr>
        <w:pStyle w:val="2"/>
        <w:spacing w:beforeLines="0" w:after="0" w:afterLines="0"/>
        <w:ind w:firstLine="600"/>
        <w:rPr>
          <w:spacing w:val="0"/>
        </w:rPr>
      </w:pPr>
      <w:r>
        <w:rPr>
          <w:rFonts w:hint="eastAsia"/>
          <w:spacing w:val="0"/>
        </w:rPr>
        <w:t>中心组团河涌存在覆盖暗渠72条（段），总长度46公里，非中心组团整治工程涵盖暗渠153条（段），涉及河涌103条，总长度74公里。多数暗渠上方或两侧建筑密集，暗渠内空间狭窄，污水排口不明。暗渠清淤时需要在暗渠上方</w:t>
      </w:r>
      <w:r>
        <w:rPr>
          <w:rFonts w:hint="eastAsia"/>
          <w:spacing w:val="0"/>
          <w:lang w:val="en-US" w:eastAsia="zh-CN"/>
        </w:rPr>
        <w:t>进行</w:t>
      </w:r>
      <w:r>
        <w:rPr>
          <w:rFonts w:hint="eastAsia"/>
          <w:spacing w:val="0"/>
        </w:rPr>
        <w:t>“开天窗”等操作，因此多数暗渠尚不具备每年汛期前清淤的条件。因此，</w:t>
      </w:r>
      <w:r>
        <w:rPr>
          <w:rFonts w:hint="eastAsia"/>
          <w:spacing w:val="0"/>
          <w:lang w:eastAsia="zh-CN"/>
        </w:rPr>
        <w:t>在</w:t>
      </w:r>
      <w:r>
        <w:rPr>
          <w:rFonts w:hint="eastAsia"/>
          <w:spacing w:val="0"/>
        </w:rPr>
        <w:t>暗渠整治</w:t>
      </w:r>
      <w:r>
        <w:rPr>
          <w:rFonts w:hint="eastAsia"/>
          <w:spacing w:val="0"/>
          <w:lang w:val="en-US" w:eastAsia="zh-CN"/>
        </w:rPr>
        <w:t>过程中</w:t>
      </w:r>
      <w:r>
        <w:rPr>
          <w:rFonts w:hint="eastAsia"/>
          <w:spacing w:val="0"/>
        </w:rPr>
        <w:t>，</w:t>
      </w:r>
      <w:r>
        <w:rPr>
          <w:rFonts w:hint="eastAsia"/>
          <w:spacing w:val="0"/>
          <w:lang w:val="en-US" w:eastAsia="zh-CN"/>
        </w:rPr>
        <w:t>对</w:t>
      </w:r>
      <w:r>
        <w:rPr>
          <w:rFonts w:hint="eastAsia"/>
          <w:color w:val="000000"/>
          <w:spacing w:val="0"/>
        </w:rPr>
        <w:t>条件允许的</w:t>
      </w:r>
      <w:r>
        <w:rPr>
          <w:rFonts w:hint="eastAsia"/>
          <w:color w:val="000000"/>
          <w:spacing w:val="0"/>
          <w:lang w:eastAsia="zh-CN"/>
        </w:rPr>
        <w:t>，</w:t>
      </w:r>
      <w:r>
        <w:rPr>
          <w:rFonts w:hint="eastAsia"/>
          <w:color w:val="000000"/>
          <w:spacing w:val="0"/>
        </w:rPr>
        <w:t>优先考虑揭盖复明，开展截污、清淤等工作，恢复河道功能；</w:t>
      </w:r>
      <w:r>
        <w:rPr>
          <w:rFonts w:hint="eastAsia"/>
          <w:color w:val="000000"/>
          <w:spacing w:val="0"/>
          <w:lang w:val="en-US" w:eastAsia="zh-CN"/>
        </w:rPr>
        <w:t>对</w:t>
      </w:r>
      <w:r>
        <w:rPr>
          <w:rFonts w:hint="eastAsia"/>
          <w:color w:val="000000"/>
          <w:spacing w:val="0"/>
        </w:rPr>
        <w:t>不满足揭盖条件的，在暗</w:t>
      </w:r>
      <w:r>
        <w:rPr>
          <w:rFonts w:hint="eastAsia"/>
          <w:color w:val="000000"/>
          <w:spacing w:val="0"/>
          <w:lang w:val="en-US" w:eastAsia="zh-CN"/>
        </w:rPr>
        <w:t>渠</w:t>
      </w:r>
      <w:r>
        <w:rPr>
          <w:rFonts w:hint="eastAsia"/>
          <w:color w:val="000000"/>
          <w:spacing w:val="0"/>
        </w:rPr>
        <w:t>盖板上按照一定间距开孔，开展清淤、渠内排口摸查和清污分流工作，结合周边情况铺设截污管，将接入暗渠的污水截流，实现源头减量、沿程减压、末端减负、河涌减污，促使污水系统提质增效。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四、关于“将暗涵清淤列入污水管网的日常运维服务合同的内容中去”的建议</w:t>
      </w:r>
    </w:p>
    <w:p>
      <w:pPr>
        <w:pStyle w:val="2"/>
        <w:spacing w:beforeLines="0" w:after="0" w:afterLines="0"/>
        <w:ind w:firstLine="600"/>
        <w:rPr>
          <w:spacing w:val="0"/>
        </w:rPr>
      </w:pPr>
      <w:r>
        <w:rPr>
          <w:rFonts w:hint="eastAsia"/>
          <w:spacing w:val="0"/>
        </w:rPr>
        <w:t>当前，中山市正在进行厂网一体化的实施行动，运作方式拟采用“BOT（建设-运营-移交）+O&amp;M（委托运营）”结合的运作方式进行。厂网一体化实施后，所有市政排水管网将有运营单位统一管理运维，由其对管网进行摸查、检测、修复、管理等工作，范围为各排水单元红线范围以外的所有市政排水管网。因此，待“厂网一体化”运营单位确定后，可将暗涵清淤内容列入运营单位的日常运维服务合同的内容中，形成长效机制。</w:t>
      </w:r>
    </w:p>
    <w:p>
      <w:pPr>
        <w:spacing w:beforeLines="0" w:afterLines="0" w:line="574" w:lineRule="exact"/>
        <w:ind w:firstLine="640" w:firstLineChars="200"/>
        <w:rPr>
          <w:rFonts w:ascii="Times New Roman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五、关于“远期推进雨污分流，正本清源工作彻底解决总口截污不利影响”的建议</w:t>
      </w:r>
    </w:p>
    <w:p>
      <w:pPr>
        <w:pStyle w:val="2"/>
        <w:spacing w:beforeLines="0" w:after="0" w:afterLines="0"/>
        <w:ind w:firstLine="600"/>
        <w:rPr>
          <w:spacing w:val="0"/>
        </w:rPr>
      </w:pPr>
      <w:r>
        <w:rPr>
          <w:rFonts w:hint="eastAsia"/>
          <w:spacing w:val="0"/>
        </w:rPr>
        <w:t>远期内推进雨污分流、正本清源工作是全市上下治水的共识，也是彻底解决总口截污不利影响的方法</w:t>
      </w:r>
      <w:r>
        <w:rPr>
          <w:rFonts w:hint="eastAsia"/>
          <w:spacing w:val="0"/>
        </w:rPr>
        <w:t>。</w:t>
      </w:r>
      <w:r>
        <w:rPr>
          <w:rFonts w:hint="eastAsia"/>
          <w:spacing w:val="0"/>
        </w:rPr>
        <w:t>当前</w:t>
      </w:r>
      <w:r>
        <w:rPr>
          <w:rFonts w:hint="eastAsia"/>
          <w:spacing w:val="0"/>
          <w:lang w:val="en-US" w:eastAsia="zh-CN"/>
        </w:rPr>
        <w:t>市住房城乡建设</w:t>
      </w:r>
      <w:r>
        <w:rPr>
          <w:rFonts w:hint="eastAsia"/>
          <w:spacing w:val="0"/>
        </w:rPr>
        <w:t>局在中心组团</w:t>
      </w:r>
      <w:r>
        <w:rPr>
          <w:rFonts w:hint="default"/>
          <w:spacing w:val="0"/>
          <w:lang w:val="en-US"/>
        </w:rPr>
        <w:t>河涌</w:t>
      </w:r>
      <w:r>
        <w:rPr>
          <w:rFonts w:hint="eastAsia"/>
          <w:spacing w:val="0"/>
        </w:rPr>
        <w:t>整治过程中，对于央督重点河涌及有条件的地区</w:t>
      </w:r>
      <w:r>
        <w:rPr>
          <w:rFonts w:hint="eastAsia"/>
          <w:spacing w:val="0"/>
          <w:lang w:val="en-US" w:eastAsia="zh-CN"/>
        </w:rPr>
        <w:t>实施</w:t>
      </w:r>
      <w:r>
        <w:rPr>
          <w:rFonts w:hint="eastAsia"/>
          <w:spacing w:val="0"/>
        </w:rPr>
        <w:t>雨污分流，例如土瓜涌、发疯涌、岐江河南区段，现已取得较为明显的效果；市水务局在非中心组团河涌整治过程中，坚持暗涵治理与河涌治理同步推进，采取截污、清淤、渠内分流等措施，实现源头减量、末端减负；市生态环境局</w:t>
      </w:r>
      <w:r>
        <w:rPr>
          <w:rFonts w:ascii="Times New Roman"/>
          <w:spacing w:val="0"/>
          <w:szCs w:val="32"/>
        </w:rPr>
        <w:t>结合我市实际，提出“统筹辖区内农村生活污水处理、农村改厕、雨污分流设施建设，实现污水收集管网周边农户应接尽接”的重点任务</w:t>
      </w:r>
      <w:r>
        <w:rPr>
          <w:rFonts w:hint="eastAsia"/>
          <w:spacing w:val="0"/>
        </w:rPr>
        <w:t>，同未达标水体的整治互为补充。今后，各部门、各镇街也将通力协作，全力推进中心组团水体整治的雨污分流工作。</w:t>
      </w:r>
    </w:p>
    <w:p>
      <w:pPr>
        <w:spacing w:beforeLines="0" w:afterLines="0" w:line="574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专此答复，诚挚感谢</w:t>
      </w:r>
      <w:r>
        <w:rPr>
          <w:rFonts w:hint="eastAsia" w:ascii="仿宋_GB2312" w:hAnsi="仿宋_GB2312" w:cs="仿宋_GB2312"/>
          <w:spacing w:val="0"/>
          <w:szCs w:val="32"/>
          <w:lang w:eastAsia="zh-CN"/>
        </w:rPr>
        <w:t>你</w:t>
      </w:r>
      <w:r>
        <w:rPr>
          <w:rFonts w:hint="eastAsia" w:ascii="仿宋_GB2312" w:hAnsi="仿宋_GB2312" w:cs="仿宋_GB2312"/>
          <w:spacing w:val="0"/>
          <w:szCs w:val="32"/>
        </w:rPr>
        <w:t>们对</w:t>
      </w: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我市治水</w:t>
      </w:r>
      <w:r>
        <w:rPr>
          <w:rFonts w:hint="eastAsia" w:ascii="仿宋_GB2312" w:hAnsi="仿宋_GB2312" w:cs="仿宋_GB2312"/>
          <w:spacing w:val="0"/>
          <w:szCs w:val="32"/>
        </w:rPr>
        <w:t>工作的关心支持。</w:t>
      </w:r>
    </w:p>
    <w:p>
      <w:pPr>
        <w:spacing w:beforeLines="0" w:afterLines="0" w:line="574" w:lineRule="exact"/>
        <w:jc w:val="right"/>
        <w:rPr>
          <w:rFonts w:hint="eastAsia" w:ascii="仿宋_GB2312" w:hAnsi="仿宋_GB2312" w:cs="仿宋_GB2312"/>
          <w:spacing w:val="0"/>
          <w:szCs w:val="32"/>
        </w:rPr>
      </w:pPr>
    </w:p>
    <w:p>
      <w:pPr>
        <w:spacing w:beforeLines="0" w:afterLines="0" w:line="574" w:lineRule="exact"/>
        <w:ind w:left="0" w:leftChars="0" w:firstLine="0" w:firstLineChars="0"/>
        <w:jc w:val="both"/>
        <w:rPr>
          <w:rFonts w:hint="eastAsia" w:ascii="仿宋_GB2312" w:hAnsi="仿宋_GB2312" w:cs="仿宋_GB2312"/>
          <w:spacing w:val="0"/>
          <w:szCs w:val="32"/>
          <w:lang w:val="en-US" w:eastAsia="zh-CN"/>
        </w:rPr>
      </w:pPr>
    </w:p>
    <w:p>
      <w:pPr>
        <w:spacing w:beforeLines="0" w:afterLines="0" w:line="574" w:lineRule="exact"/>
        <w:ind w:left="320" w:leftChars="0" w:hanging="320" w:hangingChars="100"/>
        <w:jc w:val="right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 xml:space="preserve">  中山市住房和城乡建设局</w:t>
      </w:r>
      <w:r>
        <w:rPr>
          <w:rFonts w:hint="eastAsia" w:ascii="仿宋_GB2312" w:hAnsi="仿宋_GB2312" w:cs="仿宋_GB2312"/>
          <w:spacing w:val="0"/>
          <w:szCs w:val="32"/>
        </w:rPr>
        <w:t xml:space="preserve">                                     </w:t>
      </w: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 xml:space="preserve">   2022</w:t>
      </w:r>
      <w:r>
        <w:rPr>
          <w:rFonts w:hint="eastAsia" w:ascii="仿宋_GB2312" w:hAnsi="仿宋_GB2312" w:cs="仿宋_GB2312"/>
          <w:spacing w:val="0"/>
          <w:szCs w:val="32"/>
        </w:rPr>
        <w:t>年</w:t>
      </w: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pacing w:val="0"/>
          <w:szCs w:val="32"/>
        </w:rPr>
        <w:t>月</w:t>
      </w: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pacing w:val="0"/>
          <w:szCs w:val="32"/>
        </w:rPr>
        <w:t>日</w:t>
      </w:r>
    </w:p>
    <w:p>
      <w:pPr>
        <w:spacing w:beforeLines="0" w:afterLines="0" w:line="574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</w:p>
    <w:p>
      <w:pPr>
        <w:spacing w:beforeLines="0" w:afterLines="0" w:line="574" w:lineRule="exact"/>
        <w:ind w:firstLine="640" w:firstLineChars="200"/>
        <w:rPr>
          <w:rFonts w:hint="eastAsia" w:ascii="仿宋_GB2312" w:hAnsi="仿宋_GB2312" w:cs="仿宋_GB2312"/>
          <w:spacing w:val="0"/>
          <w:szCs w:val="32"/>
        </w:rPr>
      </w:pPr>
      <w:r>
        <w:rPr>
          <w:rFonts w:hint="eastAsia" w:ascii="仿宋_GB2312" w:hAnsi="仿宋_GB2312" w:cs="仿宋_GB2312"/>
          <w:spacing w:val="0"/>
          <w:szCs w:val="32"/>
        </w:rPr>
        <w:t>（联系人及电话：</w:t>
      </w:r>
      <w:r>
        <w:rPr>
          <w:rFonts w:hint="eastAsia" w:ascii="仿宋_GB2312" w:hAnsi="仿宋_GB2312" w:cs="仿宋_GB2312"/>
          <w:spacing w:val="0"/>
          <w:szCs w:val="32"/>
          <w:lang w:val="en-US" w:eastAsia="zh-CN"/>
        </w:rPr>
        <w:t>桑昊旻，</w:t>
      </w:r>
      <w:r>
        <w:rPr>
          <w:rFonts w:hint="eastAsia" w:ascii="仿宋_GB2312" w:hAnsi="仿宋_GB2312" w:cs="仿宋_GB2312"/>
          <w:spacing w:val="0"/>
          <w:szCs w:val="32"/>
        </w:rPr>
        <w:t>15927154055</w:t>
      </w:r>
      <w:r>
        <w:rPr>
          <w:rFonts w:hint="eastAsia" w:ascii="仿宋_GB2312" w:hAnsi="仿宋_GB2312" w:cs="仿宋_GB2312"/>
          <w:spacing w:val="0"/>
          <w:szCs w:val="32"/>
        </w:rPr>
        <w:t>）</w:t>
      </w:r>
    </w:p>
    <w:p>
      <w:pPr>
        <w:pStyle w:val="2"/>
        <w:spacing w:beforeLines="0" w:after="0" w:afterLines="0"/>
        <w:rPr>
          <w:rFonts w:ascii="Times New Roman"/>
          <w:spacing w:val="0"/>
          <w:szCs w:val="32"/>
        </w:rPr>
      </w:pPr>
    </w:p>
    <w:p>
      <w:pPr>
        <w:pStyle w:val="3"/>
        <w:spacing w:beforeLines="0" w:afterLines="0"/>
        <w:ind w:left="0"/>
        <w:rPr>
          <w:rFonts w:ascii="Times New Roman"/>
          <w:spacing w:val="0"/>
          <w:szCs w:val="32"/>
        </w:rPr>
      </w:pPr>
    </w:p>
    <w:p>
      <w:pPr>
        <w:spacing w:beforeLines="0" w:afterLines="0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15240"/>
                <wp:effectExtent l="0" t="4445" r="0" b="889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3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1.2pt;width:441pt;z-index:251661312;mso-width-relative:page;mso-height-relative:page;" filled="f" stroked="t" coordsize="21600,21600" o:gfxdata="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qaqrTAAAABQEAAA8AAAAAAAAAAQAgAAAAIgAAAGRycy9kb3ducmV2LnhtbFBL&#10;AQIUABQAAAAIAIdO4kDhXQQW+wEAAPo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抄送：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市政府办公室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市政协提案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委、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市水务局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市生态环境局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东区街道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西区街道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石岐街道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南区街道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港口镇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沙溪镇</w:t>
      </w:r>
      <w:r>
        <w:rPr>
          <w:rFonts w:hint="eastAsia" w:asci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大涌镇。</w:t>
      </w:r>
    </w:p>
    <w:p>
      <w:pPr>
        <w:spacing w:beforeLines="0" w:afterLines="0"/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15240"/>
                <wp:effectExtent l="0" t="4445" r="0" b="8890"/>
                <wp:wrapNone/>
                <wp:docPr id="1029" name="直接连接符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1.2pt;width:441pt;z-index:251662336;mso-width-relative:page;mso-height-relative:page;" filled="f" stroked="t" coordsize="21600,21600" o:gfxdata="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YLe0tIAAAAEAQAADwAAAAAAAAABACAAAAAiAAAAZHJzL2Rvd25yZXYueG1s&#10;UEsBAhQAFAAAAAgAh07iQLP0Cav+AQAA+gMAAA4AAAAAAAAAAQAgAAAAI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0700" cy="15240"/>
                <wp:effectExtent l="0" t="4445" r="0" b="8890"/>
                <wp:wrapNone/>
                <wp:docPr id="1030" name="直接连接符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1.2pt;width:441pt;z-index:251663360;mso-width-relative:page;mso-height-relative:page;" filled="f" stroked="t" coordsize="21600,21600" o:gfxdata="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55qfXUAAAABgEAAA8AAAAAAAAAAQAgAAAAIgAAAGRycy9kb3ducmV2Lnht&#10;bFBLAQIUABQAAAAIAIdO4kD2ot/9/QEAAPo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 xml:space="preserve">中山市住房和城乡建设局办公室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月</w:t>
      </w:r>
      <w:r>
        <w:rPr>
          <w:rFonts w:hint="eastAsia" w:hAnsi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日印发</w:t>
      </w:r>
    </w:p>
    <w:sectPr>
      <w:pgSz w:w="11906" w:h="16838"/>
      <w:pgMar w:top="117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03"/>
    <w:rsid w:val="00025417"/>
    <w:rsid w:val="0004428D"/>
    <w:rsid w:val="000E75AB"/>
    <w:rsid w:val="0021339E"/>
    <w:rsid w:val="002169BC"/>
    <w:rsid w:val="00285FA2"/>
    <w:rsid w:val="002F13FB"/>
    <w:rsid w:val="00326A1D"/>
    <w:rsid w:val="00442716"/>
    <w:rsid w:val="004D2516"/>
    <w:rsid w:val="004E7745"/>
    <w:rsid w:val="005018D7"/>
    <w:rsid w:val="00524441"/>
    <w:rsid w:val="00561940"/>
    <w:rsid w:val="00564DF0"/>
    <w:rsid w:val="0066400F"/>
    <w:rsid w:val="00685229"/>
    <w:rsid w:val="00796F03"/>
    <w:rsid w:val="007F431D"/>
    <w:rsid w:val="007F6177"/>
    <w:rsid w:val="0083160B"/>
    <w:rsid w:val="0086642F"/>
    <w:rsid w:val="008E1CAC"/>
    <w:rsid w:val="00A1629B"/>
    <w:rsid w:val="00A24BB9"/>
    <w:rsid w:val="00AF73CE"/>
    <w:rsid w:val="00B05A12"/>
    <w:rsid w:val="00B67151"/>
    <w:rsid w:val="00C0446A"/>
    <w:rsid w:val="00C25B7E"/>
    <w:rsid w:val="00C533C4"/>
    <w:rsid w:val="00CB0BCD"/>
    <w:rsid w:val="00D32BC9"/>
    <w:rsid w:val="00DF4EA5"/>
    <w:rsid w:val="00E6060D"/>
    <w:rsid w:val="133A2221"/>
    <w:rsid w:val="155536B4"/>
    <w:rsid w:val="2E4F668D"/>
    <w:rsid w:val="325A385A"/>
    <w:rsid w:val="338E1A00"/>
    <w:rsid w:val="3F9AE3AD"/>
    <w:rsid w:val="65BFF797"/>
    <w:rsid w:val="77FB9D80"/>
    <w:rsid w:val="7B3F4810"/>
    <w:rsid w:val="BBDD0679"/>
    <w:rsid w:val="C6FA9DD6"/>
    <w:rsid w:val="DBA9C95D"/>
    <w:rsid w:val="FDE9A7B4"/>
    <w:rsid w:val="FEDC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semiHidden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仿宋_GB2312" w:hAnsi="Times New Roman" w:eastAsia="仿宋_GB2312" w:cs="Times New Roman"/>
      <w:snapToGrid w:val="0"/>
      <w:spacing w:val="-6"/>
      <w:kern w:val="32"/>
      <w:sz w:val="32"/>
      <w:szCs w:val="24"/>
    </w:rPr>
  </w:style>
  <w:style w:type="character" w:customStyle="1" w:styleId="9">
    <w:name w:val="页眉 Char"/>
    <w:basedOn w:val="7"/>
    <w:link w:val="5"/>
    <w:qFormat/>
    <w:uiPriority w:val="99"/>
    <w:rPr>
      <w:rFonts w:ascii="仿宋_GB2312" w:hAnsi="Times New Roman" w:eastAsia="仿宋_GB2312" w:cs="Times New Roman"/>
      <w:snapToGrid w:val="0"/>
      <w:spacing w:val="-6"/>
      <w:kern w:val="3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仿宋_GB2312" w:hAnsi="Times New Roman" w:eastAsia="仿宋_GB2312" w:cs="Times New Roman"/>
      <w:snapToGrid w:val="0"/>
      <w:spacing w:val="-6"/>
      <w:kern w:val="32"/>
      <w:sz w:val="18"/>
      <w:szCs w:val="18"/>
    </w:rPr>
  </w:style>
  <w:style w:type="paragraph" w:customStyle="1" w:styleId="11">
    <w:name w:val="Char Char"/>
    <w:basedOn w:val="1"/>
    <w:qFormat/>
    <w:uiPriority w:val="0"/>
    <w:pPr>
      <w:suppressLineNumbers w:val="0"/>
      <w:adjustRightInd/>
      <w:spacing w:line="440" w:lineRule="atLeast"/>
    </w:pPr>
    <w:rPr>
      <w:rFonts w:ascii="Times New Roman" w:eastAsia="宋体"/>
      <w:snapToGrid/>
      <w:spacing w:val="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1886</Words>
  <Characters>1912</Characters>
  <Lines>86</Lines>
  <Paragraphs>21</Paragraphs>
  <TotalTime>1</TotalTime>
  <ScaleCrop>false</ScaleCrop>
  <LinksUpToDate>false</LinksUpToDate>
  <CharactersWithSpaces>1975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2022-05-20T00:43:00Z</dcterms:created>
  <dc:creator>桑昊旻</dc:creator>
  <cp:lastModifiedBy>卢岚</cp:lastModifiedBy>
  <cp:lastPrinted>2022-06-08T16:55:00Z</cp:lastPrinted>
  <dcterms:modified xsi:type="dcterms:W3CDTF">2022-06-15T10:02:04Z</dcterms:modified>
  <dc:title>中山市住房和城乡建设局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