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0"/>
        </w:tabs>
        <w:spacing w:line="240" w:lineRule="auto"/>
        <w:jc w:val="center"/>
        <w:rPr>
          <w:rFonts w:hint="eastAsia" w:ascii="方正小标宋简体" w:hAnsi="方正小标宋简体" w:eastAsia="方正小标宋简体" w:cs="方正小标宋简体"/>
          <w:b w:val="0"/>
          <w:bCs w:val="0"/>
          <w:color w:val="FF0000"/>
          <w:spacing w:val="57"/>
          <w:sz w:val="66"/>
          <w:szCs w:val="66"/>
          <w:lang w:val="en-US" w:eastAsia="zh-CN"/>
        </w:rPr>
      </w:pPr>
      <w:r>
        <w:rPr>
          <w:rFonts w:hint="eastAsia" w:ascii="方正小标宋简体" w:hAnsi="方正小标宋简体" w:eastAsia="方正小标宋简体" w:cs="方正小标宋简体"/>
          <w:b w:val="0"/>
          <w:bCs w:val="0"/>
          <w:color w:val="FF0000"/>
          <w:spacing w:val="57"/>
          <w:sz w:val="66"/>
          <w:szCs w:val="66"/>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617220</wp:posOffset>
                </wp:positionV>
                <wp:extent cx="5962650" cy="635"/>
                <wp:effectExtent l="0" t="19050" r="0" b="37465"/>
                <wp:wrapNone/>
                <wp:docPr id="7" name="直接连接符 7"/>
                <wp:cNvGraphicFramePr/>
                <a:graphic xmlns:a="http://schemas.openxmlformats.org/drawingml/2006/main">
                  <a:graphicData uri="http://schemas.microsoft.com/office/word/2010/wordprocessingShape">
                    <wps:wsp>
                      <wps:cNvCnPr/>
                      <wps:spPr>
                        <a:xfrm>
                          <a:off x="0" y="0"/>
                          <a:ext cx="60579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5pt;margin-top:48.6pt;height:0.05pt;width:469.5pt;z-index:251660288;mso-width-relative:page;mso-height-relative:page;" filled="f" stroked="t" coordsize="21600,21600" o:gfxdata="UEsDBAoAAAAAAIdO4kAAAAAAAAAAAAAAAAAEAAAAZHJzL1BLAwQUAAAACACHTuJAYo2/d9sAAAAJ&#10;AQAADwAAAGRycy9kb3ducmV2LnhtbE2PwU7DMBBE70j8g7VIXFDrJEiUhjgVQkIUeqAEJMTNjZck&#10;arwOttOWv+/2BMedHc28KRYH24sd+tA5UpBOExBItTMdNQo+3h8ntyBC1GR07wgV/GKARXl+Vujc&#10;uD294a6KjeAQCrlW0MY45FKGukWrw9QNSPz7dt7qyKdvpPF6z+G2l1mS3EirO+KGVg/40GK9rUar&#10;wL7ae/m1ehorv35++fxZLdfbq6VSlxdpcgci4iH+meGEz+hQMtPGjWSC6BVMshlviQrmswwEG+Zp&#10;xsLmJFyDLAv5f0F5BFBLAwQUAAAACACHTuJAAirC8vwBAADzAwAADgAAAGRycy9lMm9Eb2MueG1s&#10;rVPNjtMwEL4j8Q6W7zTpIrZL1HQPW8oFQSXgAaaOk1jynzxu074EL4DEDU4cufM2uzwGY6dbluXS&#10;Azk4Y8/MN/N9Hs+v90aznQyonK35dFJyJq1wjbJdzT9+WD274gwj2Aa0s7LmB4n8evH0yXzwlbxw&#10;vdONDIxALFaDr3kfo6+KAkUvDeDEeWnJ2bpgINI2dEUTYCB0o4uLsrwsBhcaH5yQiHS6HJ38iBjO&#10;AXRtq4RcOrE10sYRNUgNkShhrzzyRe62baWI79oWZWS65sQ05pWKkL1Ja7GYQ9UF8L0SxxbgnBYe&#10;cTKgLBU9QS0hAtsG9Q+UUSI4dG2cCGeKkUhWhFhMy0favO/By8yFpEZ/Eh3/H6x4u1sHppqazziz&#10;YOjC7z7/uP309dfPL7Teff/GZkmkwWNFsTd2HY479OuQGO/bYNKfuLB9FvZwElbuIxN0eFm+mL0s&#10;SXNx7yv+JPqA8bV0hiWj5lrZxBkq2L3BSMUo9D4kHWvLhpo/v5pmPKAJbOnmCdp4YoG2y8notGpW&#10;SuuUgqHb3OjAdkBTsFqV9CVOBPxXWKqyBOzHuOwa56OX0LyyDYsHT/pYehY89WBkw5mW9IqSRYBQ&#10;RVD6nEgqrW1KkHlGj0STyKOsydq45kB3s/VBdT0JM809Jw/NQu7+OLdp2B7uyX74Vh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KNv3fbAAAACQEAAA8AAAAAAAAAAQAgAAAAIgAAAGRycy9kb3du&#10;cmV2LnhtbFBLAQIUABQAAAAIAIdO4kACKsLy/AEAAPMDAAAOAAAAAAAAAAEAIAAAACoBAABkcnMv&#10;ZTJvRG9jLnhtbFBLBQYAAAAABgAGAFkBAACYBQAAAAA=&#10;">
                <v:fill on="f" focussize="0,0"/>
                <v:stroke weight="3pt" color="#FF0000" joinstyle="round"/>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4718050</wp:posOffset>
                </wp:positionH>
                <wp:positionV relativeFrom="paragraph">
                  <wp:posOffset>-313055</wp:posOffset>
                </wp:positionV>
                <wp:extent cx="867410" cy="438150"/>
                <wp:effectExtent l="0" t="0" r="8890" b="0"/>
                <wp:wrapNone/>
                <wp:docPr id="8" name="文本框 8"/>
                <wp:cNvGraphicFramePr/>
                <a:graphic xmlns:a="http://schemas.openxmlformats.org/drawingml/2006/main">
                  <a:graphicData uri="http://schemas.microsoft.com/office/word/2010/wordprocessingShape">
                    <wps:wsp>
                      <wps:cNvSpPr txBox="1"/>
                      <wps:spPr>
                        <a:xfrm>
                          <a:off x="0" y="0"/>
                          <a:ext cx="867410" cy="438150"/>
                        </a:xfrm>
                        <a:prstGeom prst="rect">
                          <a:avLst/>
                        </a:prstGeom>
                        <a:solidFill>
                          <a:srgbClr val="FFFFFF"/>
                        </a:solidFill>
                        <a:ln>
                          <a:noFill/>
                        </a:ln>
                        <a:effectLst/>
                      </wps:spPr>
                      <wps:txb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A</w:t>
                            </w:r>
                            <w:r>
                              <w:rPr>
                                <w:rFonts w:hint="eastAsia" w:ascii="仿宋_GB2312" w:hAnsi="仿宋_GB2312" w:eastAsia="仿宋_GB2312" w:cs="仿宋_GB2312"/>
                                <w:spacing w:val="0"/>
                                <w:kern w:val="0"/>
                                <w:sz w:val="32"/>
                                <w:szCs w:val="32"/>
                                <w:lang w:val="en-US" w:eastAsia="zh-CN"/>
                              </w:rPr>
                              <w:t>类）</w:t>
                            </w:r>
                          </w:p>
                        </w:txbxContent>
                      </wps:txbx>
                      <wps:bodyPr upright="1"/>
                    </wps:wsp>
                  </a:graphicData>
                </a:graphic>
              </wp:anchor>
            </w:drawing>
          </mc:Choice>
          <mc:Fallback>
            <w:pict>
              <v:shape id="_x0000_s1026" o:spid="_x0000_s1026" o:spt="202" type="#_x0000_t202" style="position:absolute;left:0pt;margin-left:371.5pt;margin-top:-24.65pt;height:34.5pt;width:68.3pt;z-index:251661312;mso-width-relative:page;mso-height-relative:page;" fillcolor="#FFFFFF" filled="t" stroked="f" coordsize="21600,21600" o:gfxdata="UEsDBAoAAAAAAIdO4kAAAAAAAAAAAAAAAAAEAAAAZHJzL1BLAwQUAAAACACHTuJAZFf3/9gAAAAK&#10;AQAADwAAAGRycy9kb3ducmV2LnhtbE2PQU7DMBBF90jcwRokNqh1StO4CXEqgQRi29IDTGI3iYjH&#10;Uew27e0ZVrAczdP/75e7qxvExU6h96RhtUxAWGq86anVcPx6X2xBhIhkcPBkNdxsgF11f1diYfxM&#10;e3s5xFZwCIUCNXQxjoWUoemsw7D0oyX+nfzkMPI5tdJMOHO4G+RzkmTSYU/c0OFo3zrbfB/OTsPp&#10;c37a5HP9EY9qn2av2Kva37R+fFglLyCivcY/GH71WR0qdqr9mUwQgwaVrnlL1LBI8zUIJrYqz0DU&#10;jOYKZFXK/xOqH1BLAwQUAAAACACHTuJAoulGLMcBAACEAwAADgAAAGRycy9lMm9Eb2MueG1srVPB&#10;btswDL0P2D8IujdO2q4LjDgF2iC7DNuAbh+gyLItQBIFUYmdH9j+YKdddt935TtGyW7WdZce5oNM&#10;kdQj36O0uh2sYQcVUIOr+GI250w5CbV2bcW/fN5eLDnDKFwtDDhV8aNCfrt+/WrV+1JdQgemVoER&#10;iMOy9xXvYvRlUaDslBU4A68cBRsIVkTahraog+gJ3Zricj6/KXoItQ8gFSJ5N2OQT4jhJYDQNFqq&#10;Dci9VS6OqEEZEYkSdtojX+dum0bJ+LFpUEVmKk5MY16pCNm7tBbrlSjbIHyn5dSCeEkLzzhZoR0V&#10;PUNtRBRsH/Q/UFbLAAhNnEmwxUgkK0IsFvNn2jx0wqvMhaRGfxYd/x+s/HD4FJiuK05jd8LSwE/f&#10;v51+/Dr9/MqWSZ7eY0lZD57y4nAHA12aRz+SM7EemmDTn/gwipO4x7O4aohMknN58/Z6QRFJoeur&#10;5eJNFr/4c9gHjO8UWJaMigeaXZZUHN5jpEYo9TEl1UIwut5qY/ImtLt7E9hB0Jy3+Us90pG/0oxL&#10;yQ7SsTE8elS+KVOZRHgklqw47IZJhR3URxJh74NuO+owy1CkJBpOLjZdpDT9p3uynz6e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kV/f/2AAAAAoBAAAPAAAAAAAAAAEAIAAAACIAAABkcnMvZG93&#10;bnJldi54bWxQSwECFAAUAAAACACHTuJAoulGLMcBAACEAwAADgAAAAAAAAABACAAAAAnAQAAZHJz&#10;L2Uyb0RvYy54bWxQSwUGAAAAAAYABgBZAQAAYAUAAAAA&#10;">
                <v:fill on="t" focussize="0,0"/>
                <v:stroke on="f"/>
                <v:imagedata o:title=""/>
                <o:lock v:ext="edit" aspectratio="f"/>
                <v:textbox>
                  <w:txbxContent>
                    <w:p>
                      <w:pPr>
                        <w:rPr>
                          <w:rFonts w:hint="eastAsia" w:ascii="仿宋_GB2312" w:hAnsi="仿宋_GB2312" w:eastAsia="仿宋_GB2312" w:cs="仿宋_GB2312"/>
                          <w:sz w:val="32"/>
                          <w:szCs w:val="32"/>
                        </w:rPr>
                      </w:pPr>
                      <w:r>
                        <w:rPr>
                          <w:rFonts w:hint="eastAsia" w:ascii="仿宋_GB2312" w:hAnsi="仿宋_GB2312" w:eastAsia="仿宋_GB2312" w:cs="仿宋_GB2312"/>
                          <w:spacing w:val="0"/>
                          <w:kern w:val="0"/>
                          <w:sz w:val="32"/>
                          <w:szCs w:val="32"/>
                          <w:lang w:eastAsia="zh-CN"/>
                        </w:rPr>
                        <w:t>（</w:t>
                      </w:r>
                      <w:r>
                        <w:rPr>
                          <w:rFonts w:hint="eastAsia" w:hAnsi="仿宋_GB2312" w:cs="仿宋_GB2312"/>
                          <w:spacing w:val="0"/>
                          <w:kern w:val="0"/>
                          <w:sz w:val="32"/>
                          <w:szCs w:val="32"/>
                          <w:lang w:val="en-US" w:eastAsia="zh-CN"/>
                        </w:rPr>
                        <w:t>A</w:t>
                      </w:r>
                      <w:r>
                        <w:rPr>
                          <w:rFonts w:hint="eastAsia" w:ascii="仿宋_GB2312" w:hAnsi="仿宋_GB2312" w:eastAsia="仿宋_GB2312" w:cs="仿宋_GB2312"/>
                          <w:spacing w:val="0"/>
                          <w:kern w:val="0"/>
                          <w:sz w:val="32"/>
                          <w:szCs w:val="32"/>
                          <w:lang w:val="en-US" w:eastAsia="zh-CN"/>
                        </w:rPr>
                        <w:t>类）</w:t>
                      </w:r>
                    </w:p>
                  </w:txbxContent>
                </v:textbox>
              </v:shape>
            </w:pict>
          </mc:Fallback>
        </mc:AlternateContent>
      </w:r>
      <w:r>
        <w:rPr>
          <w:rFonts w:hint="eastAsia" w:ascii="方正小标宋简体" w:hAnsi="方正小标宋简体" w:eastAsia="方正小标宋简体" w:cs="方正小标宋简体"/>
          <w:b w:val="0"/>
          <w:bCs w:val="0"/>
          <w:color w:val="FF0000"/>
          <w:spacing w:val="57"/>
          <w:sz w:val="66"/>
          <w:szCs w:val="66"/>
        </w:rPr>
        <w:t>中山市住房和城乡建设局</w:t>
      </w:r>
    </w:p>
    <w:p>
      <w:pPr>
        <w:keepNext w:val="0"/>
        <w:keepLines w:val="0"/>
        <w:pageBreakBefore w:val="0"/>
        <w:widowControl w:val="0"/>
        <w:kinsoku/>
        <w:wordWrap/>
        <w:overflowPunct w:val="0"/>
        <w:topLinePunct w:val="0"/>
        <w:autoSpaceDE w:val="0"/>
        <w:autoSpaceDN w:val="0"/>
        <w:bidi w:val="0"/>
        <w:adjustRightInd/>
        <w:snapToGrid w:val="0"/>
        <w:spacing w:beforeLines="0" w:afterLines="0" w:line="574" w:lineRule="exact"/>
        <w:ind w:left="0" w:leftChars="0" w:right="0" w:rightChars="0"/>
        <w:jc w:val="right"/>
        <w:textAlignment w:val="auto"/>
        <w:outlineLvl w:val="9"/>
        <w:rPr>
          <w:rFonts w:hint="eastAsia" w:ascii="楷体_GB2312" w:hAnsi="楷体_GB2312" w:eastAsia="楷体_GB2312" w:cs="楷体_GB2312"/>
          <w:snapToGrid w:val="0"/>
          <w:spacing w:val="0"/>
          <w:kern w:val="0"/>
          <w:sz w:val="32"/>
          <w:szCs w:val="32"/>
        </w:rPr>
      </w:pPr>
      <w:r>
        <w:rPr>
          <w:rFonts w:hint="eastAsia" w:ascii="楷体_GB2312" w:hAnsi="楷体_GB2312" w:eastAsia="楷体_GB2312" w:cs="楷体_GB2312"/>
          <w:snapToGrid w:val="0"/>
          <w:spacing w:val="0"/>
          <w:kern w:val="0"/>
          <w:sz w:val="32"/>
          <w:szCs w:val="32"/>
        </w:rPr>
        <w:t>中建函〔202</w:t>
      </w:r>
      <w:r>
        <w:rPr>
          <w:rFonts w:hint="eastAsia" w:ascii="楷体_GB2312" w:hAnsi="楷体_GB2312" w:eastAsia="楷体_GB2312" w:cs="楷体_GB2312"/>
          <w:snapToGrid w:val="0"/>
          <w:spacing w:val="0"/>
          <w:kern w:val="0"/>
          <w:sz w:val="32"/>
          <w:szCs w:val="32"/>
          <w:lang w:val="en-US" w:eastAsia="zh-CN"/>
        </w:rPr>
        <w:t>2</w:t>
      </w:r>
      <w:r>
        <w:rPr>
          <w:rFonts w:hint="eastAsia" w:ascii="楷体_GB2312" w:hAnsi="楷体_GB2312" w:eastAsia="楷体_GB2312" w:cs="楷体_GB2312"/>
          <w:snapToGrid w:val="0"/>
          <w:spacing w:val="0"/>
          <w:kern w:val="0"/>
          <w:sz w:val="32"/>
          <w:szCs w:val="32"/>
        </w:rPr>
        <w:t>〕</w:t>
      </w:r>
      <w:r>
        <w:rPr>
          <w:rFonts w:hint="eastAsia" w:ascii="楷体_GB2312" w:hAnsi="楷体_GB2312" w:eastAsia="楷体_GB2312" w:cs="楷体_GB2312"/>
          <w:snapToGrid w:val="0"/>
          <w:spacing w:val="0"/>
          <w:kern w:val="0"/>
          <w:sz w:val="32"/>
          <w:szCs w:val="32"/>
          <w:lang w:val="en-US" w:eastAsia="zh-CN"/>
        </w:rPr>
        <w:t>139</w:t>
      </w:r>
      <w:r>
        <w:rPr>
          <w:rFonts w:hint="eastAsia" w:ascii="楷体_GB2312" w:hAnsi="楷体_GB2312" w:eastAsia="楷体_GB2312" w:cs="楷体_GB2312"/>
          <w:snapToGrid w:val="0"/>
          <w:spacing w:val="0"/>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jc w:val="center"/>
        <w:textAlignment w:val="auto"/>
        <w:rPr>
          <w:rFonts w:hint="eastAsia" w:ascii="方正小标宋简体" w:hAnsi="方正小标宋简体" w:eastAsia="方正小标宋简体" w:cs="方正小标宋简体"/>
          <w:spacing w:val="0"/>
          <w:sz w:val="44"/>
          <w:szCs w:val="44"/>
        </w:rPr>
      </w:pPr>
    </w:p>
    <w:p>
      <w:pPr>
        <w:spacing w:beforeLines="0" w:afterLines="0" w:line="574" w:lineRule="exact"/>
        <w:jc w:val="center"/>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中山市</w:t>
      </w:r>
      <w:r>
        <w:rPr>
          <w:rFonts w:hint="eastAsia" w:ascii="方正小标宋简体" w:hAnsi="方正小标宋简体" w:eastAsia="方正小标宋简体" w:cs="方正小标宋简体"/>
          <w:color w:val="auto"/>
          <w:spacing w:val="0"/>
          <w:sz w:val="44"/>
          <w:szCs w:val="44"/>
          <w:lang w:eastAsia="zh-CN"/>
        </w:rPr>
        <w:t>住房和城乡建设</w:t>
      </w:r>
      <w:r>
        <w:rPr>
          <w:rFonts w:hint="eastAsia" w:ascii="方正小标宋简体" w:hAnsi="方正小标宋简体" w:eastAsia="方正小标宋简体" w:cs="方正小标宋简体"/>
          <w:color w:val="auto"/>
          <w:spacing w:val="0"/>
          <w:sz w:val="44"/>
          <w:szCs w:val="44"/>
        </w:rPr>
        <w:t>局关于市政协十三届</w:t>
      </w:r>
    </w:p>
    <w:p>
      <w:pPr>
        <w:spacing w:beforeLines="0" w:afterLines="0" w:line="574" w:lineRule="exact"/>
        <w:jc w:val="center"/>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rPr>
        <w:t>一次会议</w:t>
      </w:r>
      <w:r>
        <w:rPr>
          <w:rFonts w:hint="eastAsia" w:ascii="方正小标宋简体" w:hAnsi="方正小标宋简体" w:eastAsia="方正小标宋简体" w:cs="方正小标宋简体"/>
          <w:color w:val="auto"/>
          <w:spacing w:val="0"/>
          <w:sz w:val="44"/>
          <w:szCs w:val="44"/>
          <w:lang w:eastAsia="zh-CN"/>
        </w:rPr>
        <w:t>第</w:t>
      </w:r>
      <w:r>
        <w:rPr>
          <w:rFonts w:hint="eastAsia" w:ascii="方正小标宋简体" w:hAnsi="方正小标宋简体" w:eastAsia="方正小标宋简体" w:cs="方正小标宋简体"/>
          <w:color w:val="auto"/>
          <w:spacing w:val="0"/>
          <w:sz w:val="44"/>
          <w:szCs w:val="44"/>
          <w:lang w:val="en-US" w:eastAsia="zh-CN"/>
        </w:rPr>
        <w:t>131050号提案</w:t>
      </w:r>
      <w:r>
        <w:rPr>
          <w:rFonts w:hint="eastAsia" w:ascii="方正小标宋简体" w:hAnsi="方正小标宋简体" w:eastAsia="方正小标宋简体" w:cs="方正小标宋简体"/>
          <w:color w:val="auto"/>
          <w:spacing w:val="0"/>
          <w:sz w:val="44"/>
          <w:szCs w:val="44"/>
        </w:rPr>
        <w:t>答复</w:t>
      </w:r>
      <w:r>
        <w:rPr>
          <w:rFonts w:hint="eastAsia" w:ascii="方正小标宋简体" w:hAnsi="方正小标宋简体" w:eastAsia="方正小标宋简体" w:cs="方正小标宋简体"/>
          <w:color w:val="auto"/>
          <w:spacing w:val="0"/>
          <w:sz w:val="44"/>
          <w:szCs w:val="44"/>
          <w:lang w:eastAsia="zh-CN"/>
        </w:rPr>
        <w:t>的函</w:t>
      </w:r>
    </w:p>
    <w:p>
      <w:pPr>
        <w:spacing w:beforeLines="0" w:afterLines="0" w:line="574" w:lineRule="exact"/>
        <w:rPr>
          <w:rFonts w:hint="eastAsia" w:ascii="Times New Roman"/>
          <w:color w:val="auto"/>
          <w:spacing w:val="0"/>
        </w:rPr>
      </w:pPr>
    </w:p>
    <w:p>
      <w:pPr>
        <w:spacing w:beforeLines="0" w:afterLines="0" w:line="574" w:lineRule="exact"/>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致公党中山市委会</w:t>
      </w:r>
      <w:r>
        <w:rPr>
          <w:rFonts w:hint="default" w:ascii="Times New Roman" w:hAnsi="Times New Roman" w:eastAsia="仿宋_GB2312" w:cs="Times New Roman"/>
          <w:color w:val="auto"/>
          <w:spacing w:val="0"/>
          <w:sz w:val="32"/>
          <w:szCs w:val="32"/>
        </w:rPr>
        <w:t>：</w:t>
      </w:r>
    </w:p>
    <w:p>
      <w:pPr>
        <w:spacing w:beforeLines="0" w:afterLines="0" w:line="574" w:lineRule="exact"/>
        <w:ind w:firstLine="640" w:firstLineChars="200"/>
        <w:rPr>
          <w:rFonts w:hint="default" w:ascii="Times New Roman" w:hAnsi="Times New Roman" w:eastAsia="仿宋_GB2312" w:cs="Times New Roman"/>
          <w:color w:val="auto"/>
          <w:spacing w:val="0"/>
          <w:sz w:val="32"/>
          <w:szCs w:val="32"/>
        </w:rPr>
      </w:pPr>
      <w:r>
        <w:rPr>
          <w:rFonts w:hint="eastAsia" w:ascii="Times New Roman" w:cs="Times New Roman"/>
          <w:color w:val="auto"/>
          <w:spacing w:val="0"/>
          <w:sz w:val="32"/>
          <w:szCs w:val="32"/>
          <w:lang w:eastAsia="zh-CN"/>
        </w:rPr>
        <w:t>贵单位</w:t>
      </w:r>
      <w:r>
        <w:rPr>
          <w:rFonts w:hint="default" w:ascii="Times New Roman" w:hAnsi="Times New Roman" w:eastAsia="仿宋_GB2312" w:cs="Times New Roman"/>
          <w:color w:val="auto"/>
          <w:spacing w:val="0"/>
          <w:sz w:val="32"/>
          <w:szCs w:val="32"/>
        </w:rPr>
        <w:t>提出的</w:t>
      </w:r>
      <w:r>
        <w:rPr>
          <w:rFonts w:hint="eastAsia" w:ascii="Times New Roman" w:hAnsi="Times New Roman" w:eastAsia="仿宋_GB2312" w:cs="Times New Roman"/>
          <w:color w:val="auto"/>
          <w:spacing w:val="0"/>
          <w:sz w:val="32"/>
          <w:szCs w:val="32"/>
          <w:lang w:eastAsia="zh-CN"/>
        </w:rPr>
        <w:t>《关于加强我市房地产经纪机构行业监管的建议》（提案第131050号）</w:t>
      </w:r>
      <w:r>
        <w:rPr>
          <w:rFonts w:hint="default" w:ascii="Times New Roman" w:hAnsi="Times New Roman" w:eastAsia="仿宋_GB2312" w:cs="Times New Roman"/>
          <w:color w:val="auto"/>
          <w:spacing w:val="0"/>
          <w:sz w:val="32"/>
          <w:szCs w:val="32"/>
        </w:rPr>
        <w:t>收悉，</w:t>
      </w:r>
      <w:r>
        <w:rPr>
          <w:rFonts w:hint="default" w:ascii="Times New Roman" w:hAnsi="Times New Roman" w:eastAsia="仿宋_GB2312" w:cs="Times New Roman"/>
          <w:color w:val="auto"/>
          <w:spacing w:val="0"/>
          <w:sz w:val="32"/>
          <w:szCs w:val="32"/>
          <w:lang w:eastAsia="zh-CN"/>
        </w:rPr>
        <w:t>经综合</w:t>
      </w:r>
      <w:r>
        <w:rPr>
          <w:rFonts w:hint="default" w:ascii="Times New Roman" w:hAnsi="Times New Roman" w:eastAsia="仿宋_GB2312" w:cs="Times New Roman"/>
          <w:color w:val="auto"/>
          <w:spacing w:val="0"/>
          <w:sz w:val="32"/>
          <w:szCs w:val="32"/>
          <w:lang w:val="en-US" w:eastAsia="zh-CN"/>
        </w:rPr>
        <w:t>市市场监管局</w:t>
      </w:r>
      <w:r>
        <w:rPr>
          <w:rFonts w:hint="eastAsia" w:ascii="Times New Roman"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市司法局</w:t>
      </w:r>
      <w:r>
        <w:rPr>
          <w:rFonts w:hint="eastAsia" w:ascii="Times New Roman"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市自然资源局</w:t>
      </w:r>
      <w:r>
        <w:rPr>
          <w:rFonts w:hint="eastAsia" w:ascii="Times New Roman"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市税务局</w:t>
      </w:r>
      <w:r>
        <w:rPr>
          <w:rFonts w:hint="eastAsia" w:ascii="Times New Roman"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人民银行</w:t>
      </w:r>
      <w:r>
        <w:rPr>
          <w:rFonts w:hint="eastAsia" w:ascii="Times New Roman" w:cs="Times New Roman"/>
          <w:color w:val="auto"/>
          <w:spacing w:val="0"/>
          <w:sz w:val="32"/>
          <w:szCs w:val="32"/>
          <w:lang w:val="en-US" w:eastAsia="zh-CN"/>
        </w:rPr>
        <w:t>中山市中心支行、</w:t>
      </w:r>
      <w:r>
        <w:rPr>
          <w:rFonts w:hint="default" w:ascii="Times New Roman" w:hAnsi="Times New Roman" w:eastAsia="仿宋_GB2312" w:cs="Times New Roman"/>
          <w:color w:val="auto"/>
          <w:spacing w:val="0"/>
          <w:sz w:val="32"/>
          <w:szCs w:val="32"/>
          <w:lang w:val="en-US" w:eastAsia="zh-CN"/>
        </w:rPr>
        <w:t>中山银保监</w:t>
      </w:r>
      <w:r>
        <w:rPr>
          <w:rFonts w:hint="eastAsia" w:ascii="Times New Roman" w:cs="Times New Roman"/>
          <w:color w:val="auto"/>
          <w:spacing w:val="0"/>
          <w:sz w:val="32"/>
          <w:szCs w:val="32"/>
          <w:lang w:val="en-US" w:eastAsia="zh-CN"/>
        </w:rPr>
        <w:t>分</w:t>
      </w:r>
      <w:r>
        <w:rPr>
          <w:rFonts w:hint="default" w:ascii="Times New Roman" w:hAnsi="Times New Roman" w:eastAsia="仿宋_GB2312" w:cs="Times New Roman"/>
          <w:color w:val="auto"/>
          <w:spacing w:val="0"/>
          <w:sz w:val="32"/>
          <w:szCs w:val="32"/>
          <w:lang w:val="en-US" w:eastAsia="zh-CN"/>
        </w:rPr>
        <w:t>局</w:t>
      </w:r>
      <w:r>
        <w:rPr>
          <w:rFonts w:hint="eastAsia" w:ascii="Times New Roman" w:cs="Times New Roman"/>
          <w:color w:val="auto"/>
          <w:spacing w:val="0"/>
          <w:sz w:val="32"/>
          <w:szCs w:val="32"/>
          <w:lang w:val="en-US" w:eastAsia="zh-CN"/>
        </w:rPr>
        <w:t>等部门</w:t>
      </w:r>
      <w:r>
        <w:rPr>
          <w:rFonts w:hint="default" w:ascii="Times New Roman" w:hAnsi="Times New Roman" w:eastAsia="仿宋_GB2312" w:cs="Times New Roman"/>
          <w:color w:val="auto"/>
          <w:spacing w:val="0"/>
          <w:sz w:val="32"/>
          <w:szCs w:val="32"/>
          <w:lang w:val="en-US" w:eastAsia="zh-CN"/>
        </w:rPr>
        <w:t>意见，</w:t>
      </w:r>
      <w:r>
        <w:rPr>
          <w:rFonts w:hint="default" w:ascii="Times New Roman" w:hAnsi="Times New Roman" w:eastAsia="仿宋_GB2312" w:cs="Times New Roman"/>
          <w:color w:val="auto"/>
          <w:spacing w:val="0"/>
          <w:sz w:val="32"/>
          <w:szCs w:val="32"/>
        </w:rPr>
        <w:t>现答复如下：</w:t>
      </w:r>
    </w:p>
    <w:p>
      <w:pPr>
        <w:spacing w:beforeLines="0" w:afterLines="0" w:line="574" w:lineRule="exact"/>
        <w:ind w:firstLine="640" w:firstLineChars="200"/>
        <w:jc w:val="both"/>
        <w:rPr>
          <w:rFonts w:hint="eastAsia" w:ascii="CESI黑体-GB2312" w:hAnsi="CESI黑体-GB2312" w:eastAsia="CESI黑体-GB2312" w:cs="CESI黑体-GB2312"/>
          <w:spacing w:val="0"/>
          <w:sz w:val="32"/>
          <w:szCs w:val="32"/>
        </w:rPr>
      </w:pPr>
      <w:r>
        <w:rPr>
          <w:rFonts w:hint="eastAsia" w:ascii="CESI黑体-GB2312" w:hAnsi="CESI黑体-GB2312" w:eastAsia="CESI黑体-GB2312" w:cs="CESI黑体-GB2312"/>
          <w:spacing w:val="0"/>
          <w:sz w:val="32"/>
          <w:szCs w:val="32"/>
        </w:rPr>
        <w:t>一、对建议内容的总体表态</w:t>
      </w:r>
    </w:p>
    <w:p>
      <w:pPr>
        <w:numPr>
          <w:ilvl w:val="-1"/>
          <w:numId w:val="0"/>
        </w:numPr>
        <w:spacing w:beforeLines="0" w:afterLines="0" w:line="574" w:lineRule="exact"/>
        <w:ind w:firstLine="640" w:firstLineChars="200"/>
        <w:rPr>
          <w:rFonts w:hint="default" w:ascii="Times New Roman" w:hAnsi="Times New Roman" w:eastAsia="仿宋_GB2312" w:cs="Times New Roman"/>
          <w:color w:val="auto"/>
          <w:spacing w:val="0"/>
          <w:sz w:val="32"/>
          <w:szCs w:val="32"/>
        </w:rPr>
      </w:pPr>
      <w:r>
        <w:rPr>
          <w:rFonts w:hint="eastAsia" w:hAnsi="仿宋_GB2312" w:cs="仿宋_GB2312"/>
          <w:color w:val="auto"/>
          <w:spacing w:val="0"/>
          <w:sz w:val="32"/>
          <w:szCs w:val="32"/>
          <w:lang w:eastAsia="zh-CN"/>
        </w:rPr>
        <w:t>我局及会办单位</w:t>
      </w:r>
      <w:r>
        <w:rPr>
          <w:rFonts w:hint="eastAsia" w:ascii="仿宋_GB2312" w:hAnsi="仿宋_GB2312" w:eastAsia="仿宋_GB2312" w:cs="仿宋_GB2312"/>
          <w:color w:val="auto"/>
          <w:spacing w:val="0"/>
          <w:sz w:val="32"/>
          <w:szCs w:val="32"/>
        </w:rPr>
        <w:t>认为该提案符合现阶段</w:t>
      </w:r>
      <w:r>
        <w:rPr>
          <w:rFonts w:hint="eastAsia" w:ascii="仿宋_GB2312" w:hAnsi="仿宋_GB2312" w:eastAsia="仿宋_GB2312" w:cs="仿宋_GB2312"/>
          <w:color w:val="auto"/>
          <w:spacing w:val="0"/>
          <w:sz w:val="32"/>
          <w:szCs w:val="32"/>
          <w:lang w:eastAsia="zh-CN"/>
        </w:rPr>
        <w:t>房地产经纪机构行业监管</w:t>
      </w:r>
      <w:r>
        <w:rPr>
          <w:rFonts w:hint="eastAsia" w:ascii="仿宋_GB2312" w:hAnsi="仿宋_GB2312" w:eastAsia="仿宋_GB2312" w:cs="仿宋_GB2312"/>
          <w:color w:val="auto"/>
          <w:spacing w:val="0"/>
          <w:sz w:val="32"/>
          <w:szCs w:val="32"/>
        </w:rPr>
        <w:t>工作的实际，</w:t>
      </w:r>
      <w:r>
        <w:rPr>
          <w:rFonts w:hint="default" w:ascii="Times New Roman" w:hAnsi="Times New Roman" w:eastAsia="仿宋_GB2312" w:cs="Times New Roman"/>
          <w:color w:val="auto"/>
          <w:spacing w:val="0"/>
          <w:sz w:val="32"/>
          <w:szCs w:val="32"/>
        </w:rPr>
        <w:t>对</w:t>
      </w:r>
      <w:r>
        <w:rPr>
          <w:rFonts w:hint="eastAsia" w:ascii="Times New Roman" w:cs="Times New Roman"/>
          <w:color w:val="auto"/>
          <w:spacing w:val="0"/>
          <w:sz w:val="32"/>
          <w:szCs w:val="32"/>
          <w:lang w:eastAsia="zh-CN"/>
        </w:rPr>
        <w:t>行业管理</w:t>
      </w:r>
      <w:r>
        <w:rPr>
          <w:rFonts w:hint="default" w:ascii="Times New Roman" w:hAnsi="Times New Roman" w:eastAsia="仿宋_GB2312" w:cs="Times New Roman"/>
          <w:color w:val="auto"/>
          <w:spacing w:val="0"/>
          <w:sz w:val="32"/>
          <w:szCs w:val="32"/>
        </w:rPr>
        <w:t>工作有着重要的指导作用</w:t>
      </w:r>
      <w:r>
        <w:rPr>
          <w:rFonts w:hint="eastAsia" w:ascii="Times New Roman" w:cs="Times New Roman"/>
          <w:color w:val="auto"/>
          <w:spacing w:val="0"/>
          <w:sz w:val="32"/>
          <w:szCs w:val="32"/>
          <w:lang w:eastAsia="zh-CN"/>
        </w:rPr>
        <w:t>。我局</w:t>
      </w:r>
      <w:r>
        <w:rPr>
          <w:rFonts w:hint="eastAsia" w:hAnsi="仿宋_GB2312" w:cs="仿宋_GB2312"/>
          <w:color w:val="auto"/>
          <w:spacing w:val="0"/>
          <w:sz w:val="32"/>
          <w:szCs w:val="32"/>
          <w:lang w:eastAsia="zh-CN"/>
        </w:rPr>
        <w:t>及会办单位</w:t>
      </w:r>
      <w:r>
        <w:rPr>
          <w:rFonts w:hint="default" w:ascii="Times New Roman" w:hAnsi="Times New Roman" w:eastAsia="仿宋_GB2312" w:cs="Times New Roman"/>
          <w:color w:val="auto"/>
          <w:spacing w:val="0"/>
          <w:sz w:val="32"/>
          <w:szCs w:val="32"/>
        </w:rPr>
        <w:t>将认真研究</w:t>
      </w:r>
      <w:r>
        <w:rPr>
          <w:rFonts w:hint="eastAsia" w:ascii="Times New Roman" w:cs="Times New Roman"/>
          <w:color w:val="auto"/>
          <w:spacing w:val="0"/>
          <w:sz w:val="32"/>
          <w:szCs w:val="32"/>
          <w:lang w:eastAsia="zh-CN"/>
        </w:rPr>
        <w:t>贵单位</w:t>
      </w:r>
      <w:r>
        <w:rPr>
          <w:rFonts w:hint="default" w:ascii="Times New Roman" w:hAnsi="Times New Roman" w:eastAsia="仿宋_GB2312" w:cs="Times New Roman"/>
          <w:color w:val="auto"/>
          <w:spacing w:val="0"/>
          <w:sz w:val="32"/>
          <w:szCs w:val="32"/>
        </w:rPr>
        <w:t>提出的意见建议，在</w:t>
      </w:r>
      <w:r>
        <w:rPr>
          <w:rFonts w:hint="eastAsia" w:ascii="Times New Roman" w:cs="Times New Roman"/>
          <w:color w:val="auto"/>
          <w:spacing w:val="0"/>
          <w:sz w:val="32"/>
          <w:szCs w:val="32"/>
          <w:lang w:eastAsia="zh-CN"/>
        </w:rPr>
        <w:t>开展房地产经纪机构行业监管工作</w:t>
      </w:r>
      <w:r>
        <w:rPr>
          <w:rFonts w:hint="default" w:ascii="Times New Roman" w:hAnsi="Times New Roman" w:eastAsia="仿宋_GB2312" w:cs="Times New Roman"/>
          <w:color w:val="auto"/>
          <w:spacing w:val="0"/>
          <w:sz w:val="32"/>
          <w:szCs w:val="32"/>
        </w:rPr>
        <w:t>时将其作为重要的参考。</w:t>
      </w:r>
    </w:p>
    <w:p>
      <w:pPr>
        <w:spacing w:beforeLines="0" w:afterLines="0" w:line="574" w:lineRule="exact"/>
        <w:ind w:firstLine="640" w:firstLineChars="200"/>
        <w:rPr>
          <w:rFonts w:hint="eastAsia" w:ascii="CESI黑体-GB2312" w:hAnsi="CESI黑体-GB2312" w:eastAsia="CESI黑体-GB2312" w:cs="CESI黑体-GB2312"/>
          <w:spacing w:val="0"/>
          <w:sz w:val="32"/>
          <w:szCs w:val="32"/>
        </w:rPr>
      </w:pPr>
      <w:r>
        <w:rPr>
          <w:rFonts w:hint="eastAsia" w:ascii="CESI黑体-GB2312" w:hAnsi="CESI黑体-GB2312" w:eastAsia="CESI黑体-GB2312" w:cs="CESI黑体-GB2312"/>
          <w:color w:val="auto"/>
          <w:spacing w:val="0"/>
          <w:sz w:val="32"/>
          <w:szCs w:val="32"/>
          <w:lang w:eastAsia="zh-CN"/>
        </w:rPr>
        <w:t>二、</w:t>
      </w:r>
      <w:r>
        <w:rPr>
          <w:rFonts w:hint="eastAsia" w:ascii="CESI黑体-GB2312" w:hAnsi="CESI黑体-GB2312" w:eastAsia="CESI黑体-GB2312" w:cs="CESI黑体-GB2312"/>
          <w:spacing w:val="0"/>
          <w:sz w:val="32"/>
          <w:szCs w:val="32"/>
        </w:rPr>
        <w:t>对建议内容的归纳分析</w:t>
      </w:r>
    </w:p>
    <w:p>
      <w:pPr>
        <w:spacing w:beforeLines="0" w:afterLines="0" w:line="574" w:lineRule="exact"/>
        <w:ind w:firstLine="640" w:firstLineChars="20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color w:val="auto"/>
          <w:spacing w:val="0"/>
          <w:sz w:val="32"/>
          <w:szCs w:val="32"/>
          <w:lang w:val="en-US" w:eastAsia="zh-CN"/>
        </w:rPr>
        <w:t>提案指出，近年来，随着我市房地产业</w:t>
      </w:r>
      <w:r>
        <w:rPr>
          <w:rFonts w:hint="eastAsia" w:hAnsi="仿宋_GB2312" w:cs="仿宋_GB2312"/>
          <w:color w:val="auto"/>
          <w:spacing w:val="0"/>
          <w:sz w:val="32"/>
          <w:szCs w:val="32"/>
          <w:lang w:val="en-US" w:eastAsia="zh-CN"/>
        </w:rPr>
        <w:t>的</w:t>
      </w:r>
      <w:r>
        <w:rPr>
          <w:rFonts w:hint="eastAsia" w:ascii="仿宋_GB2312" w:hAnsi="仿宋_GB2312" w:eastAsia="仿宋_GB2312" w:cs="仿宋_GB2312"/>
          <w:color w:val="auto"/>
          <w:spacing w:val="0"/>
          <w:sz w:val="32"/>
          <w:szCs w:val="32"/>
          <w:lang w:val="en-US" w:eastAsia="zh-CN"/>
        </w:rPr>
        <w:t>发展，</w:t>
      </w:r>
      <w:r>
        <w:rPr>
          <w:rFonts w:hint="eastAsia" w:hAnsi="仿宋_GB2312" w:cs="仿宋_GB2312"/>
          <w:color w:val="auto"/>
          <w:spacing w:val="0"/>
          <w:sz w:val="32"/>
          <w:szCs w:val="32"/>
          <w:lang w:val="en-US" w:eastAsia="zh-CN"/>
        </w:rPr>
        <w:t>房地产经纪机构数量不断增加，因不规范行为引起的纠纷也频频发生。目前，我市房地产经纪机构行业存在相关政策法规滞后、行业准入门槛低、经营行为不规范、行业监管有待加强等问题。提案建议相关部门采取将房地产销售经纪人、企业法人和购房人三者纳入个人诚信体系，落实“三价合一”管理机制，加强监督执法检查和普法工作，落实交易资金监管，充分发挥行业协会作用等措施，加大对经纪机构的监管力度。</w:t>
      </w:r>
    </w:p>
    <w:p>
      <w:pPr>
        <w:spacing w:beforeLines="0" w:afterLines="0" w:line="574" w:lineRule="exact"/>
        <w:ind w:firstLine="640" w:firstLineChars="200"/>
        <w:rPr>
          <w:rFonts w:hint="eastAsia" w:ascii="黑体" w:hAnsi="黑体" w:eastAsia="黑体" w:cs="黑体"/>
          <w:color w:val="auto"/>
          <w:spacing w:val="0"/>
          <w:sz w:val="32"/>
          <w:szCs w:val="32"/>
          <w:lang w:eastAsia="zh-CN"/>
        </w:rPr>
      </w:pPr>
      <w:r>
        <w:rPr>
          <w:rFonts w:hint="eastAsia" w:ascii="黑体" w:hAnsi="黑体" w:eastAsia="黑体" w:cs="黑体"/>
          <w:color w:val="auto"/>
          <w:spacing w:val="0"/>
          <w:sz w:val="32"/>
          <w:szCs w:val="32"/>
          <w:lang w:eastAsia="zh-CN"/>
        </w:rPr>
        <w:t>三</w:t>
      </w:r>
      <w:r>
        <w:rPr>
          <w:rFonts w:hint="eastAsia" w:ascii="黑体" w:hAnsi="黑体" w:eastAsia="黑体" w:cs="黑体"/>
          <w:color w:val="auto"/>
          <w:spacing w:val="0"/>
          <w:sz w:val="32"/>
          <w:szCs w:val="32"/>
        </w:rPr>
        <w:t>、</w:t>
      </w:r>
      <w:r>
        <w:rPr>
          <w:rFonts w:hint="eastAsia" w:ascii="黑体" w:hAnsi="黑体" w:eastAsia="黑体" w:cs="黑体"/>
          <w:color w:val="auto"/>
          <w:spacing w:val="0"/>
          <w:sz w:val="32"/>
          <w:szCs w:val="32"/>
          <w:lang w:eastAsia="zh-CN"/>
        </w:rPr>
        <w:t>目前房地产经纪机构监管情况</w:t>
      </w:r>
    </w:p>
    <w:p>
      <w:pPr>
        <w:pStyle w:val="2"/>
        <w:spacing w:beforeLines="0" w:afterLines="0"/>
        <w:ind w:firstLine="640" w:firstLineChars="200"/>
        <w:rPr>
          <w:rFonts w:hint="eastAsia"/>
          <w:color w:val="auto"/>
          <w:spacing w:val="0"/>
          <w:lang w:val="en-US" w:eastAsia="zh-CN"/>
        </w:rPr>
      </w:pPr>
      <w:r>
        <w:rPr>
          <w:rFonts w:hint="eastAsia" w:ascii="CESI楷体-GB2312" w:hAnsi="CESI楷体-GB2312" w:eastAsia="CESI楷体-GB2312" w:cs="CESI楷体-GB2312"/>
          <w:color w:val="auto"/>
          <w:spacing w:val="0"/>
          <w:lang w:val="en-US" w:eastAsia="zh-CN"/>
        </w:rPr>
        <w:t>（一）摸清行业状况，规范备案管理。</w:t>
      </w:r>
      <w:r>
        <w:rPr>
          <w:rFonts w:hint="eastAsia"/>
          <w:color w:val="auto"/>
          <w:spacing w:val="0"/>
          <w:lang w:val="en-US" w:eastAsia="zh-CN"/>
        </w:rPr>
        <w:t>2018年6月6日起，“房地产经纪违规行为处罚”“房地产经纪机构备案”权责清单调整至我局。权责清单调整后，我局迅速完成工作交接，摸清全市经纪机构现状，受理经纪相关信访投诉，编制《房地产经纪机构备案办事指南》，开展经纪机构备案工作。2019年5月，房地产经纪机构网上备案系统上线，经纪机构网上录入和上传相关资料即可完成备案手续。截至2022年5月20日，全市已备案经纪机构共1321家，其中主机构860家，分支机构461家。</w:t>
      </w:r>
    </w:p>
    <w:p>
      <w:pPr>
        <w:pStyle w:val="2"/>
        <w:spacing w:beforeLines="0" w:afterLines="0"/>
        <w:ind w:firstLine="640" w:firstLineChars="200"/>
        <w:rPr>
          <w:rFonts w:hint="eastAsia"/>
          <w:color w:val="auto"/>
          <w:spacing w:val="0"/>
          <w:lang w:val="en-US" w:eastAsia="zh-CN"/>
        </w:rPr>
      </w:pPr>
      <w:r>
        <w:rPr>
          <w:rFonts w:hint="eastAsia" w:ascii="CESI楷体-GB2312" w:hAnsi="CESI楷体-GB2312" w:eastAsia="CESI楷体-GB2312" w:cs="CESI楷体-GB2312"/>
          <w:color w:val="auto"/>
          <w:spacing w:val="0"/>
          <w:lang w:val="en-US" w:eastAsia="zh-CN"/>
        </w:rPr>
        <w:t>（二）积极开展检查，主动排除隐患。</w:t>
      </w:r>
      <w:r>
        <w:rPr>
          <w:rFonts w:hint="eastAsia"/>
          <w:color w:val="auto"/>
          <w:spacing w:val="0"/>
          <w:lang w:val="en-US" w:eastAsia="zh-CN"/>
        </w:rPr>
        <w:t>为加强房地产市场监管，主动发现、主动处理房地产企业及经纪机构违法违规行为，每年我局牵头组织开展至少两次房地产市场秩序专项检查，联合市市场监管局、市金融局、市住房公积金中心等部门，组成多个检查组，按照“双随机”工作要求，每次在全市范围内抽取近百个房地产项目及经纪门店进行检查，主要针对经纪机构是否存在发布虚假房源信息、经营场所公示内容是否完整、是否造谣炒作误导消费者或市场预期等行为进行检查。同时，针对本辖区内存在的普遍问题和群众投诉的热点问题进行调查。对于检查中发现的经纪机构违法违规行为，能够现场整改的，要求现场整改，不能现场整改的，发出整改通知书，并联合镇街跟进整改情况。</w:t>
      </w:r>
    </w:p>
    <w:p>
      <w:pPr>
        <w:pStyle w:val="2"/>
        <w:spacing w:beforeLines="0" w:afterLines="0"/>
        <w:ind w:firstLine="640" w:firstLineChars="200"/>
        <w:rPr>
          <w:rFonts w:hint="eastAsia"/>
          <w:color w:val="auto"/>
          <w:spacing w:val="0"/>
          <w:lang w:val="en-US" w:eastAsia="zh-CN"/>
        </w:rPr>
      </w:pPr>
      <w:r>
        <w:rPr>
          <w:rFonts w:hint="eastAsia"/>
          <w:color w:val="auto"/>
          <w:spacing w:val="0"/>
          <w:lang w:val="en-US" w:eastAsia="zh-CN"/>
        </w:rPr>
        <w:t>此外，我局安排专人联合市房协组成检查组，每周对市内经纪机构开展日常巡查，本着“早排查、早发现、早处置”的原则，对经纪机构经营中可能存在的隐患进行排查，对于发现的问题要求经纪机构立即整改，并在检查过程中向经纪人员宣传经纪管理相关政策法规。</w:t>
      </w:r>
    </w:p>
    <w:p>
      <w:pPr>
        <w:spacing w:beforeLines="0" w:afterLines="0"/>
        <w:ind w:firstLine="640" w:firstLineChars="200"/>
        <w:rPr>
          <w:rFonts w:hint="eastAsia" w:ascii="仿宋_GB2312" w:hAnsi="仿宋_GB2312" w:eastAsia="仿宋_GB2312" w:cs="仿宋_GB2312"/>
          <w:color w:val="auto"/>
          <w:spacing w:val="0"/>
          <w:lang w:val="en-US" w:eastAsia="zh-CN"/>
        </w:rPr>
      </w:pPr>
      <w:r>
        <w:rPr>
          <w:rFonts w:hint="eastAsia" w:ascii="CESI楷体-GB2312" w:hAnsi="CESI楷体-GB2312" w:eastAsia="CESI楷体-GB2312" w:cs="CESI楷体-GB2312"/>
          <w:color w:val="auto"/>
          <w:spacing w:val="0"/>
          <w:lang w:val="en-US" w:eastAsia="zh-CN"/>
        </w:rPr>
        <w:t>（三）化解矛盾纠纷，保护群众权益。</w:t>
      </w:r>
      <w:r>
        <w:rPr>
          <w:rFonts w:hint="eastAsia"/>
          <w:color w:val="auto"/>
          <w:spacing w:val="0"/>
          <w:lang w:val="en-US" w:eastAsia="zh-CN"/>
        </w:rPr>
        <w:t>从2018年6月经纪机构管理相关事权正式移交我局以来，我局积极开展经纪机构监管工作，认真妥善处理信访事项，指定专人负责信访投诉调查处理，在规定时间内向投诉人反馈办理情况。同时，通过采取积极有效措施，正确引导群众合理诉求，化解矛盾纠纷。在处理过程中，对开发商的违法违规行为进行督促整改，对拒不整改的，依法依规进行处理，维护房地产市场的稳定。</w:t>
      </w:r>
      <w:r>
        <w:rPr>
          <w:rFonts w:hint="eastAsia" w:ascii="仿宋_GB2312" w:hAnsi="仿宋_GB2312" w:eastAsia="仿宋_GB2312" w:cs="仿宋_GB2312"/>
          <w:color w:val="auto"/>
          <w:spacing w:val="0"/>
          <w:lang w:val="en-US" w:eastAsia="zh-CN"/>
        </w:rPr>
        <w:t>2018年6月至</w:t>
      </w:r>
      <w:r>
        <w:rPr>
          <w:rFonts w:hint="eastAsia" w:hAnsi="仿宋_GB2312" w:cs="仿宋_GB2312"/>
          <w:color w:val="auto"/>
          <w:spacing w:val="0"/>
          <w:lang w:val="en-US" w:eastAsia="zh-CN"/>
        </w:rPr>
        <w:t>2022年5月中旬</w:t>
      </w:r>
      <w:r>
        <w:rPr>
          <w:rFonts w:hint="eastAsia" w:ascii="仿宋_GB2312" w:hAnsi="仿宋_GB2312" w:eastAsia="仿宋_GB2312" w:cs="仿宋_GB2312"/>
          <w:color w:val="auto"/>
          <w:spacing w:val="0"/>
          <w:lang w:val="en-US" w:eastAsia="zh-CN"/>
        </w:rPr>
        <w:t>，我</w:t>
      </w:r>
      <w:r>
        <w:rPr>
          <w:rFonts w:hint="eastAsia" w:hAnsi="仿宋_GB2312" w:cs="仿宋_GB2312"/>
          <w:color w:val="auto"/>
          <w:spacing w:val="0"/>
          <w:lang w:val="en-US" w:eastAsia="zh-CN"/>
        </w:rPr>
        <w:t>局</w:t>
      </w:r>
      <w:r>
        <w:rPr>
          <w:rFonts w:hint="eastAsia" w:ascii="仿宋_GB2312" w:hAnsi="仿宋_GB2312" w:eastAsia="仿宋_GB2312" w:cs="仿宋_GB2312"/>
          <w:color w:val="auto"/>
          <w:spacing w:val="0"/>
          <w:lang w:val="en-US" w:eastAsia="zh-CN"/>
        </w:rPr>
        <w:t>共</w:t>
      </w:r>
      <w:r>
        <w:rPr>
          <w:rFonts w:hint="eastAsia" w:hAnsi="仿宋_GB2312" w:cs="仿宋_GB2312"/>
          <w:color w:val="auto"/>
          <w:spacing w:val="0"/>
          <w:lang w:val="en-US" w:eastAsia="zh-CN"/>
        </w:rPr>
        <w:t>处理</w:t>
      </w:r>
      <w:r>
        <w:rPr>
          <w:rFonts w:hint="eastAsia" w:ascii="仿宋_GB2312" w:hAnsi="仿宋_GB2312" w:eastAsia="仿宋_GB2312" w:cs="仿宋_GB2312"/>
          <w:color w:val="auto"/>
          <w:spacing w:val="0"/>
          <w:lang w:val="en-US" w:eastAsia="zh-CN"/>
        </w:rPr>
        <w:t>263份有关经纪机构的</w:t>
      </w:r>
      <w:r>
        <w:rPr>
          <w:rFonts w:hint="eastAsia" w:hAnsi="仿宋_GB2312" w:cs="仿宋_GB2312"/>
          <w:color w:val="auto"/>
          <w:spacing w:val="0"/>
          <w:lang w:val="en-US" w:eastAsia="zh-CN"/>
        </w:rPr>
        <w:t>信访</w:t>
      </w:r>
      <w:r>
        <w:rPr>
          <w:rFonts w:hint="eastAsia" w:ascii="仿宋_GB2312" w:hAnsi="仿宋_GB2312" w:eastAsia="仿宋_GB2312" w:cs="仿宋_GB2312"/>
          <w:color w:val="auto"/>
          <w:spacing w:val="0"/>
          <w:lang w:val="en-US" w:eastAsia="zh-CN"/>
        </w:rPr>
        <w:t>投诉，主要反映的问题有</w:t>
      </w:r>
      <w:r>
        <w:rPr>
          <w:rFonts w:hint="eastAsia" w:hAnsi="仿宋_GB2312" w:cs="仿宋_GB2312"/>
          <w:color w:val="auto"/>
          <w:spacing w:val="0"/>
          <w:lang w:val="en-US" w:eastAsia="zh-CN"/>
        </w:rPr>
        <w:t>经纪机构</w:t>
      </w:r>
      <w:r>
        <w:rPr>
          <w:rFonts w:hint="eastAsia" w:ascii="仿宋_GB2312" w:hAnsi="仿宋_GB2312" w:eastAsia="仿宋_GB2312" w:cs="仿宋_GB2312"/>
          <w:color w:val="auto"/>
          <w:spacing w:val="0"/>
          <w:lang w:val="en-US" w:eastAsia="zh-CN"/>
        </w:rPr>
        <w:t>乱收费、服务不到位、夸大宣传及隐瞒房屋质量状况等问题</w:t>
      </w:r>
      <w:r>
        <w:rPr>
          <w:rFonts w:hint="eastAsia" w:hAnsi="仿宋_GB2312" w:cs="仿宋_GB2312"/>
          <w:color w:val="auto"/>
          <w:spacing w:val="0"/>
          <w:lang w:val="en-US" w:eastAsia="zh-CN"/>
        </w:rPr>
        <w:t>，以上信访问题我局均已作出处理。</w:t>
      </w:r>
    </w:p>
    <w:p>
      <w:pPr>
        <w:spacing w:beforeLines="0" w:afterLines="0"/>
        <w:ind w:firstLine="640" w:firstLineChars="200"/>
        <w:rPr>
          <w:rFonts w:hint="default"/>
          <w:color w:val="auto"/>
          <w:spacing w:val="0"/>
          <w:lang w:val="en-US" w:eastAsia="zh-CN"/>
        </w:rPr>
      </w:pPr>
      <w:r>
        <w:rPr>
          <w:rFonts w:hint="eastAsia" w:ascii="CESI楷体-GB2312" w:hAnsi="CESI楷体-GB2312" w:eastAsia="CESI楷体-GB2312" w:cs="CESI楷体-GB2312"/>
          <w:color w:val="auto"/>
          <w:spacing w:val="0"/>
          <w:lang w:val="en-US" w:eastAsia="zh-CN"/>
        </w:rPr>
        <w:t>（四）公布查处名单，震慑不法企业。</w:t>
      </w:r>
      <w:r>
        <w:rPr>
          <w:rFonts w:hint="eastAsia" w:ascii="仿宋_GB2312" w:eastAsia="仿宋_GB2312"/>
          <w:color w:val="auto"/>
          <w:spacing w:val="0"/>
          <w:lang w:val="en-US" w:eastAsia="zh-CN"/>
        </w:rPr>
        <w:t>为加大对违法违规企业的惩治力度，我局每季度在局政务网上通报当季我局及市市场监管局、市城管</w:t>
      </w:r>
      <w:r>
        <w:rPr>
          <w:rFonts w:hint="eastAsia"/>
          <w:color w:val="auto"/>
          <w:spacing w:val="0"/>
          <w:lang w:val="en-US" w:eastAsia="zh-CN"/>
        </w:rPr>
        <w:t>和</w:t>
      </w:r>
      <w:r>
        <w:rPr>
          <w:rFonts w:hint="eastAsia" w:ascii="仿宋_GB2312" w:eastAsia="仿宋_GB2312"/>
          <w:color w:val="auto"/>
          <w:spacing w:val="0"/>
          <w:lang w:val="en-US" w:eastAsia="zh-CN"/>
        </w:rPr>
        <w:t>执法局查处的违法违规房地产开发企业和</w:t>
      </w:r>
      <w:r>
        <w:rPr>
          <w:rFonts w:hint="eastAsia"/>
          <w:color w:val="auto"/>
          <w:spacing w:val="0"/>
          <w:lang w:val="en-US" w:eastAsia="zh-CN"/>
        </w:rPr>
        <w:t>经纪</w:t>
      </w:r>
      <w:r>
        <w:rPr>
          <w:rFonts w:hint="eastAsia" w:ascii="仿宋_GB2312" w:eastAsia="仿宋_GB2312"/>
          <w:color w:val="auto"/>
          <w:spacing w:val="0"/>
          <w:lang w:val="en-US" w:eastAsia="zh-CN"/>
        </w:rPr>
        <w:t>机构名单，</w:t>
      </w:r>
      <w:r>
        <w:rPr>
          <w:rFonts w:hint="eastAsia"/>
          <w:color w:val="auto"/>
          <w:spacing w:val="0"/>
          <w:lang w:val="en-US" w:eastAsia="zh-CN"/>
        </w:rPr>
        <w:t>通过群众监督促使经纪机构自觉守法经营。</w:t>
      </w:r>
    </w:p>
    <w:p>
      <w:pPr>
        <w:pStyle w:val="3"/>
        <w:spacing w:beforeLines="0" w:afterLines="0"/>
        <w:ind w:left="0" w:leftChars="0" w:firstLine="640" w:firstLineChars="200"/>
        <w:rPr>
          <w:rFonts w:hint="eastAsia" w:ascii="黑体" w:hAnsi="黑体" w:eastAsia="黑体" w:cs="黑体"/>
          <w:color w:val="auto"/>
          <w:spacing w:val="0"/>
          <w:lang w:val="en-US" w:eastAsia="zh-CN"/>
        </w:rPr>
      </w:pPr>
      <w:r>
        <w:rPr>
          <w:rFonts w:hint="eastAsia" w:ascii="黑体" w:hAnsi="黑体" w:eastAsia="黑体" w:cs="黑体"/>
          <w:color w:val="auto"/>
          <w:spacing w:val="0"/>
          <w:lang w:val="en-US" w:eastAsia="zh-CN"/>
        </w:rPr>
        <w:t>四、对贵单位提出建议的回应</w:t>
      </w:r>
    </w:p>
    <w:p>
      <w:pPr>
        <w:spacing w:beforeLines="0" w:afterLines="0"/>
        <w:ind w:firstLine="640" w:firstLineChars="200"/>
        <w:rPr>
          <w:rFonts w:hint="eastAsia" w:ascii="CESI楷体-GB2312" w:hAnsi="CESI楷体-GB2312" w:eastAsia="CESI楷体-GB2312" w:cs="CESI楷体-GB2312"/>
          <w:color w:val="auto"/>
          <w:spacing w:val="0"/>
          <w:lang w:val="en-US" w:eastAsia="zh-CN"/>
        </w:rPr>
      </w:pPr>
      <w:r>
        <w:rPr>
          <w:rFonts w:hint="eastAsia" w:ascii="CESI楷体-GB2312" w:hAnsi="CESI楷体-GB2312" w:eastAsia="CESI楷体-GB2312" w:cs="CESI楷体-GB2312"/>
          <w:color w:val="auto"/>
          <w:spacing w:val="0"/>
          <w:lang w:val="en-US" w:eastAsia="zh-CN"/>
        </w:rPr>
        <w:t>（一）将房地产销售经纪人、企业法人和购房人三者纳入个人诚信体系统一管理</w:t>
      </w:r>
    </w:p>
    <w:p>
      <w:pPr>
        <w:pStyle w:val="2"/>
        <w:spacing w:beforeLines="0" w:afterLines="0"/>
        <w:ind w:firstLine="643" w:firstLineChars="200"/>
        <w:rPr>
          <w:rFonts w:hint="eastAsia"/>
          <w:color w:val="auto"/>
          <w:spacing w:val="0"/>
          <w:lang w:val="en-US" w:eastAsia="zh-CN"/>
        </w:rPr>
      </w:pPr>
      <w:r>
        <w:rPr>
          <w:rFonts w:hint="eastAsia"/>
          <w:b/>
          <w:bCs/>
          <w:color w:val="auto"/>
          <w:spacing w:val="0"/>
          <w:lang w:val="en-US" w:eastAsia="zh-CN"/>
        </w:rPr>
        <w:t>1.将经纪机构纳入行业诚信管理。</w:t>
      </w:r>
      <w:r>
        <w:rPr>
          <w:rFonts w:hint="eastAsia"/>
          <w:color w:val="auto"/>
          <w:spacing w:val="0"/>
          <w:lang w:val="en-US" w:eastAsia="zh-CN"/>
        </w:rPr>
        <w:t>我局目前正在对《中山市房地产企业诚信管理办法》进行修订，本次修订将经纪机构纳入诚信管理范围。届时市内经纪机构将纳入中山市房地产企业管理和诚信平台，经纪机构如发生违法违规行为，将对其进行诚信扣分处罚，如获得政府部门表扬或行业相关奖项，将对其进行加分奖励。经纪机构根据信用分值，分为4个等级。我局将对A级企业实行激励机制，实施简化监督和低频率的日常检查；对B级企业实行预警机制，实施常规监督和适度频率的日常检查；对C级企业实行防范与监管并重机制，适当增加日常监督检查的频率，在相关网站进行公示等；对D级企业实行重点防范为主机制， 将采取行业重点监管和高频率的日常检查，暂停企业的《诚信档案》使用，对其法定代表人或中山负责人、技术负责人、从业人员进行强制性相关法律法规培训等措施。</w:t>
      </w:r>
    </w:p>
    <w:p>
      <w:pPr>
        <w:pStyle w:val="2"/>
        <w:bidi w:val="0"/>
        <w:spacing w:beforeLines="0" w:afterLines="0"/>
        <w:ind w:firstLine="640" w:firstLineChars="200"/>
        <w:rPr>
          <w:rFonts w:hint="eastAsia"/>
          <w:color w:val="auto"/>
          <w:spacing w:val="0"/>
          <w:lang w:val="en-US" w:eastAsia="zh-CN"/>
        </w:rPr>
      </w:pPr>
      <w:r>
        <w:rPr>
          <w:rFonts w:hint="eastAsia"/>
          <w:color w:val="auto"/>
          <w:spacing w:val="0"/>
          <w:lang w:val="en-US" w:eastAsia="zh-CN"/>
        </w:rPr>
        <w:t>经纪机构的诚信分值和加扣分情况将在诚信平台内公示，一方面有助于群众及时了解经纪机构的诚信状况，在寻求经纪服务时主动选择守法经营、信誉良好的机构；另一方面，有助于激励经纪机构守法经营，主动提升诚信等级，推动行业健康发展。</w:t>
      </w:r>
    </w:p>
    <w:p>
      <w:pPr>
        <w:pStyle w:val="2"/>
        <w:bidi w:val="0"/>
        <w:spacing w:beforeLines="0" w:afterLines="0"/>
        <w:ind w:firstLine="643" w:firstLineChars="200"/>
        <w:rPr>
          <w:rFonts w:hint="eastAsia"/>
          <w:color w:val="auto"/>
          <w:spacing w:val="0"/>
          <w:lang w:val="en-US" w:eastAsia="zh-CN"/>
        </w:rPr>
      </w:pPr>
      <w:r>
        <w:rPr>
          <w:rFonts w:hint="eastAsia"/>
          <w:b/>
          <w:bCs/>
          <w:color w:val="auto"/>
          <w:spacing w:val="0"/>
          <w:lang w:val="en-US" w:eastAsia="zh-CN"/>
        </w:rPr>
        <w:t>2.对经纪人、企业法人和购房人的诚信管理。</w:t>
      </w:r>
      <w:r>
        <w:rPr>
          <w:rFonts w:hint="eastAsia"/>
          <w:color w:val="auto"/>
          <w:spacing w:val="0"/>
          <w:lang w:val="en-US" w:eastAsia="zh-CN"/>
        </w:rPr>
        <w:t>关于将房地产销售经纪人、企业法人和购房人三者纳入个人诚信体系统一管理，结合市发展改革局意见，目前我市行业诚信管理领域，监管对象一般为行业内企业，将具体从业人员、企业法人纳入诚信管理对象的做法尚未实行。目前我局正研究将经纪从业人员纳入房地产行业诚信管理范围，具体实施办法待进一步研讨。</w:t>
      </w:r>
    </w:p>
    <w:p>
      <w:pPr>
        <w:pStyle w:val="2"/>
        <w:bidi w:val="0"/>
        <w:spacing w:beforeLines="0" w:afterLines="0"/>
        <w:ind w:firstLine="640" w:firstLineChars="200"/>
        <w:rPr>
          <w:rFonts w:hint="eastAsia"/>
          <w:color w:val="auto"/>
          <w:spacing w:val="0"/>
          <w:lang w:val="en-US" w:eastAsia="zh-CN"/>
        </w:rPr>
      </w:pPr>
      <w:r>
        <w:rPr>
          <w:rFonts w:hint="eastAsia"/>
          <w:color w:val="auto"/>
          <w:spacing w:val="0"/>
          <w:lang w:val="en-US" w:eastAsia="zh-CN"/>
        </w:rPr>
        <w:t>根据《全国失信惩戒措施基础清单（2021）》，有《公司法》一百四十六条禁止情形之一的自然人；被列入严重违法企业名单的企业的法定代表人、负责人；因发布虚假广告等</w:t>
      </w:r>
      <w:bookmarkStart w:id="0" w:name="_GoBack"/>
      <w:bookmarkEnd w:id="0"/>
      <w:r>
        <w:rPr>
          <w:rFonts w:hint="eastAsia"/>
          <w:color w:val="auto"/>
          <w:spacing w:val="0"/>
          <w:lang w:val="en-US" w:eastAsia="zh-CN"/>
        </w:rPr>
        <w:t>广告法规定的违法行为，被吊销营业执照的公司、企业对违法行为负有个人责任的法定代表人，在一定期限内依法禁止担任公司、企业的法定代表人、董事、监事、高级管理人员，因此，若经纪机构涉及上述违法行为，其法定代表人亦将受到相应失信惩戒。同时，《全国失信惩戒措施基础清单（2021）》暂未将提供虚假材料骗取购房资格人员列入惩戒对象，因此，根据法律规定，有以上行为的购房人暂未能纳入失信被执行人。</w:t>
      </w:r>
    </w:p>
    <w:p>
      <w:pPr>
        <w:pStyle w:val="2"/>
        <w:bidi w:val="0"/>
        <w:spacing w:beforeLines="0" w:afterLines="0"/>
        <w:ind w:firstLine="640" w:firstLineChars="200"/>
        <w:rPr>
          <w:rFonts w:hint="eastAsia"/>
          <w:color w:val="auto"/>
          <w:spacing w:val="0"/>
          <w:lang w:val="en-US" w:eastAsia="zh-CN"/>
        </w:rPr>
      </w:pPr>
      <w:r>
        <w:rPr>
          <w:rFonts w:hint="eastAsia"/>
          <w:color w:val="auto"/>
          <w:spacing w:val="0"/>
          <w:lang w:val="en-US" w:eastAsia="zh-CN"/>
        </w:rPr>
        <w:t>（二）落实“三价合一”管理机制</w:t>
      </w:r>
    </w:p>
    <w:p>
      <w:pPr>
        <w:pStyle w:val="2"/>
        <w:bidi w:val="0"/>
        <w:spacing w:beforeLines="0" w:afterLines="0"/>
        <w:ind w:firstLine="640" w:firstLineChars="200"/>
        <w:rPr>
          <w:rFonts w:hint="eastAsia"/>
          <w:color w:val="auto"/>
          <w:spacing w:val="0"/>
          <w:lang w:val="en-US" w:eastAsia="zh-CN"/>
        </w:rPr>
      </w:pPr>
      <w:r>
        <w:rPr>
          <w:rFonts w:hint="eastAsia"/>
          <w:color w:val="auto"/>
          <w:spacing w:val="0"/>
          <w:lang w:val="en-US" w:eastAsia="zh-CN"/>
        </w:rPr>
        <w:t>1.加强“三价合一”管理机制。中山银保监分局在引导中山市银行机构加强“三价合一”管理机制方面采取了一系列措施并已取得一定工作成效。</w:t>
      </w:r>
    </w:p>
    <w:p>
      <w:pPr>
        <w:pStyle w:val="2"/>
        <w:bidi w:val="0"/>
        <w:spacing w:beforeLines="0" w:afterLines="0"/>
        <w:ind w:firstLine="640" w:firstLineChars="200"/>
        <w:rPr>
          <w:rFonts w:hint="eastAsia"/>
          <w:color w:val="auto"/>
          <w:spacing w:val="0"/>
          <w:lang w:val="en-US" w:eastAsia="zh-CN"/>
        </w:rPr>
      </w:pPr>
      <w:r>
        <w:rPr>
          <w:rFonts w:hint="eastAsia"/>
          <w:color w:val="auto"/>
          <w:spacing w:val="0"/>
          <w:lang w:val="en-US" w:eastAsia="zh-CN"/>
        </w:rPr>
        <w:t>（1）严格审核与银行合作的房地产经纪机构的合规性。要求银行机构对开展业务合作的房地产经纪机构实行准入制度，优选具有良好品牌，业界排名靠前，经纪交易流程标准规范的房地产经纪机构开展合作，重点调查合作方专业资质，并对其经营范围、历史业绩、资金实力等进行全面评估。同时，要求银行机构一旦掌握房地产经纪机构存在金融欺诈、逃废、拖欠债务等不良记录，或存在有组织或协助他人制造虚假贷款等情形，应立即终止合作。</w:t>
      </w:r>
    </w:p>
    <w:p>
      <w:pPr>
        <w:pStyle w:val="2"/>
        <w:bidi w:val="0"/>
        <w:spacing w:beforeLines="0" w:afterLines="0"/>
        <w:ind w:firstLine="640" w:firstLineChars="200"/>
        <w:rPr>
          <w:rFonts w:hint="eastAsia"/>
          <w:color w:val="auto"/>
          <w:spacing w:val="0"/>
          <w:lang w:val="en-US" w:eastAsia="zh-CN"/>
        </w:rPr>
      </w:pPr>
      <w:r>
        <w:rPr>
          <w:rFonts w:hint="eastAsia"/>
          <w:color w:val="auto"/>
          <w:spacing w:val="0"/>
          <w:lang w:val="en-US" w:eastAsia="zh-CN"/>
        </w:rPr>
        <w:t>（2）督促银行机构多举措核实交易价格。督促银行通过当面问询买卖双方交易合同价格，由买卖双方签署确认书、并在买卖合同复印件上再次签字确认，提供首付款银行转账凭证，在大型经纪机构如乐有家、贝壳等平台查询业主放盘价以作参考等方式，核实交易金额真实性。</w:t>
      </w:r>
    </w:p>
    <w:p>
      <w:pPr>
        <w:pStyle w:val="2"/>
        <w:bidi w:val="0"/>
        <w:spacing w:beforeLines="0" w:afterLines="0"/>
        <w:ind w:firstLine="640" w:firstLineChars="200"/>
        <w:rPr>
          <w:rFonts w:hint="eastAsia"/>
          <w:color w:val="auto"/>
          <w:spacing w:val="0"/>
          <w:lang w:val="en-US" w:eastAsia="zh-CN"/>
        </w:rPr>
      </w:pPr>
      <w:r>
        <w:rPr>
          <w:rFonts w:hint="eastAsia"/>
          <w:color w:val="auto"/>
          <w:spacing w:val="0"/>
          <w:lang w:val="en-US" w:eastAsia="zh-CN"/>
        </w:rPr>
        <w:t>（3）引导银行机构科学评估二手房交易价格。如为更科学地评估二手房交易价格，防止受“阴阳合同”不实价格干扰，平安银行中山分行目前通过总行开发的AI房估平台进行房产评估，对于标准房产，AI房估平台选取世联值、平安AI估值、云房估值的平均值作为该行认定价值；对于非标准房产，AI房估平台将抵押物随机派给该行准入的三家评估公司进行评估，选取中间值作为该行认定价值。</w:t>
      </w:r>
    </w:p>
    <w:p>
      <w:pPr>
        <w:pStyle w:val="2"/>
        <w:bidi w:val="0"/>
        <w:spacing w:beforeLines="0" w:afterLines="0"/>
        <w:ind w:firstLine="643" w:firstLineChars="200"/>
        <w:rPr>
          <w:rFonts w:hint="eastAsia"/>
          <w:color w:val="auto"/>
          <w:spacing w:val="0"/>
          <w:lang w:val="en-US" w:eastAsia="zh-CN"/>
        </w:rPr>
      </w:pPr>
      <w:r>
        <w:rPr>
          <w:rFonts w:hint="eastAsia"/>
          <w:b/>
          <w:bCs/>
          <w:color w:val="auto"/>
          <w:spacing w:val="0"/>
          <w:lang w:val="en-US" w:eastAsia="zh-CN"/>
        </w:rPr>
        <w:t>2.加强税收监管。</w:t>
      </w:r>
      <w:r>
        <w:rPr>
          <w:rFonts w:hint="eastAsia"/>
          <w:color w:val="auto"/>
          <w:spacing w:val="0"/>
          <w:lang w:val="en-US" w:eastAsia="zh-CN"/>
        </w:rPr>
        <w:t>根据《财政部 国家税务总局关于推进应用房地产评估技术加强存量房交易税收征管工作的通知》(财税〔2010〕105号）第二条规定，各级财税征收机关要应用房地产评估技术建立存量房交易申报价格比对系统，对各类存量房地产进行评估；以评估值的一定比例作为计税参考值；申报价格高于计税参考值的，以申报价格作为计税价格；申报价格低于计税参考值的，如果纳税人不能按要求陈述、举证正当理由，以计税参考值作为计税价格。按照上级相关工作要求，我市已建设存量房评估价格管理系统，市税务局已与我局共享存量房网签合同信息，以网签合同交易价格与存量房评估价格比对，按孰高原则确定计税依据。</w:t>
      </w:r>
    </w:p>
    <w:p>
      <w:pPr>
        <w:pStyle w:val="2"/>
        <w:bidi w:val="0"/>
        <w:spacing w:beforeLines="0" w:afterLines="0"/>
        <w:ind w:firstLine="640" w:firstLineChars="200"/>
        <w:rPr>
          <w:rFonts w:hint="eastAsia" w:ascii="CESI楷体-GB2312" w:hAnsi="CESI楷体-GB2312" w:eastAsia="CESI楷体-GB2312" w:cs="CESI楷体-GB2312"/>
          <w:color w:val="auto"/>
          <w:spacing w:val="0"/>
          <w:lang w:val="en-US" w:eastAsia="zh-CN"/>
        </w:rPr>
      </w:pPr>
      <w:r>
        <w:rPr>
          <w:rFonts w:hint="eastAsia" w:ascii="CESI楷体-GB2312" w:hAnsi="CESI楷体-GB2312" w:eastAsia="CESI楷体-GB2312" w:cs="CESI楷体-GB2312"/>
          <w:color w:val="auto"/>
          <w:spacing w:val="0"/>
          <w:lang w:val="en-US" w:eastAsia="zh-CN"/>
        </w:rPr>
        <w:t>（三）加强监督执法检查和普法力度</w:t>
      </w:r>
    </w:p>
    <w:p>
      <w:pPr>
        <w:pStyle w:val="2"/>
        <w:bidi w:val="0"/>
        <w:spacing w:beforeLines="0" w:afterLines="0"/>
        <w:ind w:firstLine="640" w:firstLineChars="200"/>
        <w:rPr>
          <w:rFonts w:hint="eastAsia"/>
          <w:color w:val="auto"/>
          <w:spacing w:val="0"/>
          <w:lang w:val="en-US" w:eastAsia="zh-CN"/>
        </w:rPr>
      </w:pPr>
      <w:r>
        <w:rPr>
          <w:rFonts w:hint="eastAsia"/>
          <w:color w:val="auto"/>
          <w:spacing w:val="0"/>
          <w:lang w:val="en-US" w:eastAsia="zh-CN"/>
        </w:rPr>
        <w:t>1.市司法局依职能主要做好以下工作：一是开展行政执法案卷评查，对涉及各行政执法主体执法案件进行评查，提出存在的问题及工作要求，不断提高行政执法部门的行政执法水平；二是制定行政执法人员培训制度，要求行政执法主体落实培训计划，组织行政执法人员综合法律知识培训，进一步提高行政执法人员法律素质；三是制定《中山市国家机关“谁执法谁普法”履职报告评议活动实施办法》统筹相关部门落实普法责任制，指导部门制定普法责任清单，压实普法和执法主体责任，把普法“软任务”变成“硬指标”， 把普法融入行政执法和社会服务的各环节与全过程。</w:t>
      </w:r>
    </w:p>
    <w:p>
      <w:pPr>
        <w:pStyle w:val="2"/>
        <w:bidi w:val="0"/>
        <w:spacing w:beforeLines="0" w:afterLines="0"/>
        <w:ind w:firstLine="640" w:firstLineChars="200"/>
        <w:rPr>
          <w:rFonts w:hint="eastAsia"/>
          <w:color w:val="auto"/>
          <w:spacing w:val="0"/>
          <w:lang w:val="en-US" w:eastAsia="zh-CN"/>
        </w:rPr>
      </w:pPr>
      <w:r>
        <w:rPr>
          <w:rFonts w:hint="eastAsia"/>
          <w:color w:val="auto"/>
          <w:spacing w:val="0"/>
          <w:lang w:val="en-US" w:eastAsia="zh-CN"/>
        </w:rPr>
        <w:t>2.市市场监督管理局按照《中山市市场监管领域部门联合抽查事项清单（第一版）》，积极配合行业主管部门实施房地产市场部门联合“双随机”抽查工作计划，并及时归集检查结果到企业名下，充分利用“国家企业信用信息公示系统”对房地产经纪机构的登记信息、行政许可、行政处罚、双随机抽查结果等信用信息向社会公众公示，通过运用信息公示、社会监督等手段加强对房地产经纪机构的信用约束。</w:t>
      </w:r>
    </w:p>
    <w:p>
      <w:pPr>
        <w:pStyle w:val="2"/>
        <w:bidi w:val="0"/>
        <w:spacing w:beforeLines="0" w:afterLines="0"/>
        <w:ind w:firstLine="640" w:firstLineChars="200"/>
        <w:rPr>
          <w:rFonts w:hint="eastAsia" w:ascii="CESI楷体-GB2312" w:hAnsi="CESI楷体-GB2312" w:eastAsia="CESI楷体-GB2312" w:cs="CESI楷体-GB2312"/>
          <w:color w:val="auto"/>
          <w:spacing w:val="0"/>
          <w:lang w:val="en-US" w:eastAsia="zh-CN"/>
        </w:rPr>
      </w:pPr>
      <w:r>
        <w:rPr>
          <w:rFonts w:hint="eastAsia" w:ascii="CESI楷体-GB2312" w:hAnsi="CESI楷体-GB2312" w:eastAsia="CESI楷体-GB2312" w:cs="CESI楷体-GB2312"/>
          <w:color w:val="auto"/>
          <w:spacing w:val="0"/>
          <w:lang w:val="en-US" w:eastAsia="zh-CN"/>
        </w:rPr>
        <w:t>（四）落实交易资金监管</w:t>
      </w:r>
    </w:p>
    <w:p>
      <w:pPr>
        <w:pStyle w:val="2"/>
        <w:bidi w:val="0"/>
        <w:spacing w:beforeLines="0" w:afterLines="0"/>
        <w:ind w:firstLine="640" w:firstLineChars="200"/>
        <w:rPr>
          <w:rFonts w:hint="eastAsia"/>
          <w:color w:val="auto"/>
          <w:spacing w:val="0"/>
          <w:lang w:val="en-US" w:eastAsia="zh-CN"/>
        </w:rPr>
      </w:pPr>
      <w:r>
        <w:rPr>
          <w:rFonts w:hint="eastAsia"/>
          <w:color w:val="auto"/>
          <w:spacing w:val="0"/>
          <w:lang w:val="en-US" w:eastAsia="zh-CN"/>
        </w:rPr>
        <w:t>根据《住房和城乡建设部关于提升房屋网签备案服务效能的意见》（建房规〔2020〕4号）附件中《房屋网签备案业务操作规范》第四条第四款规定“通过房地产经纪机构成交的存量房买卖佣金，应当纳入交易资金监管。除当事人提出明确要求外，存量房交易资金也应纳入资金监管。存量房自行成交的，由当事人选择是否进行交易资金监管”。从2021年10月1日起，我局以建设银行中山分行和中山农商银行作为试点银行，正式开展存量房交易资金监管业务，买卖双方在进行存量房买卖合同网签的同时，可自愿选择是否进行存量房交易资金监管。业务开展初期，为加快业务推广，暂未将中介佣金纳入监管。后续我局将逐步把存量房交易资金监管业务推广到其他银行，将通过房地产经纪机构成交的存量房买卖佣金纳入资金监管。</w:t>
      </w:r>
    </w:p>
    <w:p>
      <w:pPr>
        <w:pStyle w:val="2"/>
        <w:bidi w:val="0"/>
        <w:spacing w:beforeLines="0" w:afterLines="0"/>
        <w:ind w:firstLine="640" w:firstLineChars="200"/>
        <w:rPr>
          <w:rFonts w:hint="eastAsia" w:ascii="CESI楷体-GB2312" w:hAnsi="CESI楷体-GB2312" w:eastAsia="CESI楷体-GB2312" w:cs="CESI楷体-GB2312"/>
          <w:color w:val="auto"/>
          <w:spacing w:val="0"/>
          <w:lang w:val="en-US" w:eastAsia="zh-CN"/>
        </w:rPr>
      </w:pPr>
      <w:r>
        <w:rPr>
          <w:rFonts w:hint="eastAsia" w:ascii="CESI楷体-GB2312" w:hAnsi="CESI楷体-GB2312" w:eastAsia="CESI楷体-GB2312" w:cs="CESI楷体-GB2312"/>
          <w:color w:val="auto"/>
          <w:spacing w:val="0"/>
          <w:lang w:val="en-US" w:eastAsia="zh-CN"/>
        </w:rPr>
        <w:t>（五）充分发挥行业协会作用</w:t>
      </w:r>
    </w:p>
    <w:p>
      <w:pPr>
        <w:pStyle w:val="2"/>
        <w:bidi w:val="0"/>
        <w:spacing w:beforeLines="0" w:afterLines="0"/>
        <w:ind w:firstLine="640" w:firstLineChars="200"/>
        <w:rPr>
          <w:rFonts w:hint="eastAsia"/>
          <w:color w:val="auto"/>
          <w:spacing w:val="0"/>
          <w:lang w:val="en-US" w:eastAsia="zh-CN"/>
        </w:rPr>
      </w:pPr>
      <w:r>
        <w:rPr>
          <w:rFonts w:hint="eastAsia"/>
          <w:color w:val="auto"/>
          <w:spacing w:val="0"/>
          <w:lang w:val="en-US" w:eastAsia="zh-CN"/>
        </w:rPr>
        <w:t>目前我市尚未成立经纪机构行业协会，为进一步加强经纪行业治理工作，我局下一步将研究引导经纪机构成立经纪行业协会，通过行业管理的方式督促经纪机构守法经营，自觉维护市场秩序。</w:t>
      </w:r>
    </w:p>
    <w:p>
      <w:pPr>
        <w:pStyle w:val="2"/>
        <w:bidi w:val="0"/>
        <w:spacing w:beforeLines="0" w:afterLines="0"/>
        <w:ind w:firstLine="640" w:firstLineChars="200"/>
        <w:rPr>
          <w:rFonts w:hint="eastAsia" w:ascii="黑体" w:hAnsi="黑体" w:eastAsia="黑体" w:cs="黑体"/>
          <w:color w:val="auto"/>
          <w:spacing w:val="0"/>
          <w:lang w:val="en-US" w:eastAsia="zh-CN"/>
        </w:rPr>
      </w:pPr>
      <w:r>
        <w:rPr>
          <w:rFonts w:hint="eastAsia" w:ascii="黑体" w:hAnsi="黑体" w:eastAsia="黑体" w:cs="黑体"/>
          <w:color w:val="auto"/>
          <w:spacing w:val="0"/>
          <w:lang w:val="en-US" w:eastAsia="zh-CN"/>
        </w:rPr>
        <w:t>五、下一步工作计划</w:t>
      </w:r>
    </w:p>
    <w:p>
      <w:pPr>
        <w:pStyle w:val="2"/>
        <w:bidi w:val="0"/>
        <w:spacing w:beforeLines="0" w:afterLines="0"/>
        <w:ind w:firstLine="640" w:firstLineChars="200"/>
        <w:rPr>
          <w:rFonts w:hint="eastAsia" w:cs="仿宋_GB2312"/>
          <w:color w:val="auto"/>
          <w:spacing w:val="0"/>
          <w:lang w:val="en-US" w:eastAsia="zh-CN"/>
        </w:rPr>
      </w:pPr>
      <w:r>
        <w:rPr>
          <w:rFonts w:hint="eastAsia" w:cs="仿宋_GB2312"/>
          <w:color w:val="auto"/>
          <w:spacing w:val="0"/>
          <w:lang w:val="en-US" w:eastAsia="zh-CN"/>
        </w:rPr>
        <w:t>（一）将经纪机构纳入行业诚信管理。我局将继续修订《中山市房地产企业诚信管理办法》，完善经纪机构不良行为扣分标准，结合法律法规，将信访投诉及日常巡查中常见的经纪机构违法违规行为纳入扣分项目。《中山市房地产企业诚信管理办法》出台后将严格执行，通过“守信激励、失信惩戒”的方式促使经纪机构守法经营。</w:t>
      </w:r>
    </w:p>
    <w:p>
      <w:pPr>
        <w:pStyle w:val="2"/>
        <w:bidi w:val="0"/>
        <w:spacing w:beforeLines="0" w:afterLines="0"/>
        <w:ind w:firstLine="640" w:firstLineChars="200"/>
        <w:rPr>
          <w:rFonts w:hint="eastAsia" w:cs="仿宋_GB2312"/>
          <w:color w:val="auto"/>
          <w:spacing w:val="0"/>
          <w:lang w:val="en-US" w:eastAsia="zh-CN"/>
        </w:rPr>
      </w:pPr>
      <w:r>
        <w:rPr>
          <w:rFonts w:hint="eastAsia" w:cs="仿宋_GB2312"/>
          <w:color w:val="auto"/>
          <w:spacing w:val="0"/>
          <w:lang w:val="en-US" w:eastAsia="zh-CN"/>
        </w:rPr>
        <w:t>（二）持续开展经纪机构“双随机”检查及日常巡查。按工作计划，每年开展至少两次房地产市场秩序专项检查，日常继续派出检查组开展巡查，及时发现经纪机构违法违规行为。</w:t>
      </w:r>
    </w:p>
    <w:p>
      <w:pPr>
        <w:pStyle w:val="2"/>
        <w:bidi w:val="0"/>
        <w:spacing w:beforeLines="0" w:afterLines="0"/>
        <w:ind w:firstLine="640" w:firstLineChars="200"/>
        <w:rPr>
          <w:rFonts w:hint="eastAsia" w:cs="仿宋_GB2312"/>
          <w:color w:val="auto"/>
          <w:spacing w:val="0"/>
          <w:lang w:val="en-US" w:eastAsia="zh-CN"/>
        </w:rPr>
      </w:pPr>
      <w:r>
        <w:rPr>
          <w:rFonts w:hint="eastAsia" w:cs="仿宋_GB2312"/>
          <w:color w:val="auto"/>
          <w:spacing w:val="0"/>
          <w:lang w:val="en-US" w:eastAsia="zh-CN"/>
        </w:rPr>
        <w:t>（三）推进市场监管领域各部门对房地产经纪机构的协同监管。下一步，市市场监管局将在相关行业主管部门统筹下，继续做好对房地产经纪机构的部门联合“双随机、一公开”监管工作，依托省“双随机、一公开”综合监管平台和国家企业信用信息公示系统，运用中山市商事监管平台抽查系统，进一步推进市场监管领域各部门对房地产经纪机构的协同监管。</w:t>
      </w:r>
    </w:p>
    <w:p>
      <w:pPr>
        <w:pStyle w:val="2"/>
        <w:bidi w:val="0"/>
        <w:spacing w:beforeLines="0" w:afterLines="0"/>
        <w:ind w:firstLine="640" w:firstLineChars="200"/>
        <w:rPr>
          <w:rFonts w:hint="eastAsia" w:cs="仿宋_GB2312"/>
          <w:color w:val="auto"/>
          <w:spacing w:val="0"/>
          <w:lang w:val="en-US" w:eastAsia="zh-CN"/>
        </w:rPr>
      </w:pPr>
      <w:r>
        <w:rPr>
          <w:rFonts w:hint="eastAsia" w:cs="仿宋_GB2312"/>
          <w:color w:val="auto"/>
          <w:spacing w:val="0"/>
          <w:lang w:val="en-US" w:eastAsia="zh-CN"/>
        </w:rPr>
        <w:t>（四）继续严厉打击协助当事人偷税漏税的房地产经纪机构。市税务局将继续加强与相关部门的协作，严厉打击协助当事人偷税漏税的房地产经纪机构。同时，在不动产登记受理环节，市税务局要求纳税人作诚信承诺，并明确告知纳税人作虚假承诺将承担相应的法律责任：造成少缴税款的，税务机关依法追征税款、加收滞纳金；涉嫌偷逃税款等违法行为的，由税务机关依法查处；涉嫌犯罪的，税务机关依法移送司法机关追究刑事责任。</w:t>
      </w:r>
    </w:p>
    <w:p>
      <w:pPr>
        <w:spacing w:beforeLines="0" w:afterLines="0" w:line="574" w:lineRule="exact"/>
        <w:ind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专此答复，</w:t>
      </w:r>
      <w:r>
        <w:rPr>
          <w:rFonts w:hint="eastAsia" w:ascii="仿宋_GB2312" w:hAnsi="仿宋_GB2312" w:eastAsia="仿宋_GB2312" w:cs="仿宋_GB2312"/>
          <w:color w:val="auto"/>
          <w:spacing w:val="0"/>
          <w:sz w:val="32"/>
          <w:szCs w:val="32"/>
        </w:rPr>
        <w:t>诚挚感谢</w:t>
      </w:r>
      <w:r>
        <w:rPr>
          <w:rFonts w:hint="eastAsia" w:ascii="仿宋_GB2312" w:hAnsi="仿宋_GB2312" w:cs="仿宋_GB2312"/>
          <w:color w:val="auto"/>
          <w:spacing w:val="0"/>
          <w:sz w:val="32"/>
          <w:szCs w:val="32"/>
          <w:lang w:eastAsia="zh-CN"/>
        </w:rPr>
        <w:t>贵单位</w:t>
      </w:r>
      <w:r>
        <w:rPr>
          <w:rFonts w:hint="eastAsia" w:ascii="仿宋_GB2312" w:hAnsi="仿宋_GB2312" w:eastAsia="仿宋_GB2312" w:cs="仿宋_GB2312"/>
          <w:color w:val="auto"/>
          <w:spacing w:val="0"/>
          <w:sz w:val="32"/>
          <w:szCs w:val="32"/>
        </w:rPr>
        <w:t>对</w:t>
      </w:r>
      <w:r>
        <w:rPr>
          <w:rFonts w:hint="eastAsia" w:ascii="仿宋_GB2312" w:hAnsi="仿宋_GB2312" w:eastAsia="仿宋_GB2312" w:cs="仿宋_GB2312"/>
          <w:color w:val="auto"/>
          <w:spacing w:val="0"/>
          <w:sz w:val="32"/>
          <w:szCs w:val="32"/>
          <w:lang w:val="en-US" w:eastAsia="zh-CN"/>
        </w:rPr>
        <w:t>房地产经纪机构行业监管</w:t>
      </w:r>
      <w:r>
        <w:rPr>
          <w:rFonts w:hint="eastAsia" w:ascii="仿宋_GB2312" w:hAnsi="仿宋_GB2312" w:eastAsia="仿宋_GB2312" w:cs="仿宋_GB2312"/>
          <w:color w:val="auto"/>
          <w:spacing w:val="0"/>
          <w:sz w:val="32"/>
          <w:szCs w:val="32"/>
        </w:rPr>
        <w:t>工作的关心支持。</w:t>
      </w:r>
    </w:p>
    <w:p>
      <w:pPr>
        <w:spacing w:beforeLines="0" w:afterLines="0" w:line="574" w:lineRule="exact"/>
        <w:jc w:val="both"/>
        <w:rPr>
          <w:rFonts w:hint="eastAsia" w:ascii="仿宋_GB2312" w:hAnsi="仿宋_GB2312" w:eastAsia="仿宋_GB2312" w:cs="仿宋_GB2312"/>
          <w:color w:val="auto"/>
          <w:spacing w:val="0"/>
          <w:sz w:val="32"/>
          <w:szCs w:val="32"/>
        </w:rPr>
      </w:pPr>
    </w:p>
    <w:p>
      <w:pPr>
        <w:spacing w:beforeLines="0" w:afterLines="0" w:line="574" w:lineRule="exact"/>
        <w:ind w:firstLine="640" w:firstLineChars="200"/>
        <w:jc w:val="right"/>
        <w:rPr>
          <w:rFonts w:hint="eastAsia" w:ascii="仿宋_GB2312" w:hAnsi="仿宋_GB2312" w:eastAsia="仿宋_GB2312" w:cs="仿宋_GB2312"/>
          <w:color w:val="auto"/>
          <w:spacing w:val="0"/>
          <w:sz w:val="32"/>
          <w:szCs w:val="32"/>
        </w:rPr>
      </w:pPr>
      <w:r>
        <w:rPr>
          <w:rFonts w:hint="eastAsia" w:ascii="仿宋_GB2312" w:hAnsi="仿宋_GB2312" w:cs="仿宋_GB2312"/>
          <w:color w:val="auto"/>
          <w:spacing w:val="0"/>
          <w:sz w:val="32"/>
          <w:szCs w:val="32"/>
          <w:lang w:eastAsia="zh-CN"/>
        </w:rPr>
        <w:t>中山市住房和城乡建设局</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cs="仿宋_GB2312"/>
          <w:color w:val="auto"/>
          <w:spacing w:val="0"/>
          <w:sz w:val="32"/>
          <w:szCs w:val="32"/>
          <w:lang w:val="en-US" w:eastAsia="zh-CN"/>
        </w:rPr>
        <w:t>2022</w:t>
      </w:r>
      <w:r>
        <w:rPr>
          <w:rFonts w:hint="eastAsia" w:ascii="仿宋_GB2312" w:hAnsi="仿宋_GB2312" w:eastAsia="仿宋_GB2312" w:cs="仿宋_GB2312"/>
          <w:color w:val="auto"/>
          <w:spacing w:val="0"/>
          <w:sz w:val="32"/>
          <w:szCs w:val="32"/>
        </w:rPr>
        <w:t>年</w:t>
      </w:r>
      <w:r>
        <w:rPr>
          <w:rFonts w:hint="eastAsia" w:ascii="仿宋_GB2312" w:hAnsi="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 xml:space="preserve">月 </w:t>
      </w:r>
      <w:r>
        <w:rPr>
          <w:rFonts w:hint="eastAsia" w:ascii="仿宋_GB2312" w:hAnsi="仿宋_GB2312" w:cs="仿宋_GB2312"/>
          <w:color w:val="auto"/>
          <w:spacing w:val="0"/>
          <w:sz w:val="32"/>
          <w:szCs w:val="32"/>
          <w:lang w:val="en-US" w:eastAsia="zh-CN"/>
        </w:rPr>
        <w:t>8</w:t>
      </w:r>
      <w:r>
        <w:rPr>
          <w:rFonts w:hint="eastAsia" w:ascii="仿宋_GB2312" w:hAnsi="仿宋_GB2312" w:eastAsia="仿宋_GB2312" w:cs="仿宋_GB2312"/>
          <w:color w:val="auto"/>
          <w:spacing w:val="0"/>
          <w:sz w:val="32"/>
          <w:szCs w:val="32"/>
        </w:rPr>
        <w:t>日</w:t>
      </w:r>
    </w:p>
    <w:p>
      <w:pPr>
        <w:spacing w:beforeLines="0" w:afterLines="0" w:line="574" w:lineRule="exact"/>
        <w:ind w:firstLine="640" w:firstLineChars="200"/>
        <w:rPr>
          <w:rFonts w:hint="eastAsia" w:ascii="仿宋_GB2312" w:hAnsi="仿宋_GB2312" w:eastAsia="仿宋_GB2312" w:cs="仿宋_GB2312"/>
          <w:color w:val="auto"/>
          <w:spacing w:val="0"/>
          <w:sz w:val="32"/>
          <w:szCs w:val="32"/>
        </w:rPr>
      </w:pPr>
    </w:p>
    <w:p>
      <w:pPr>
        <w:spacing w:beforeLines="0" w:afterLines="0" w:line="574" w:lineRule="exact"/>
        <w:ind w:firstLine="640" w:firstLineChars="200"/>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（联系人及电话：</w:t>
      </w:r>
      <w:r>
        <w:rPr>
          <w:rFonts w:hint="eastAsia" w:ascii="仿宋_GB2312" w:hAnsi="仿宋_GB2312" w:cs="仿宋_GB2312"/>
          <w:color w:val="auto"/>
          <w:spacing w:val="0"/>
          <w:sz w:val="32"/>
          <w:szCs w:val="32"/>
          <w:lang w:eastAsia="zh-CN"/>
        </w:rPr>
        <w:t>丘雅，</w:t>
      </w:r>
      <w:r>
        <w:rPr>
          <w:rFonts w:hint="eastAsia" w:ascii="仿宋_GB2312" w:hAnsi="仿宋_GB2312" w:cs="仿宋_GB2312"/>
          <w:color w:val="auto"/>
          <w:spacing w:val="0"/>
          <w:sz w:val="32"/>
          <w:szCs w:val="32"/>
          <w:lang w:val="en-US" w:eastAsia="zh-CN"/>
        </w:rPr>
        <w:t>88300526</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w:t>
      </w:r>
    </w:p>
    <w:p>
      <w:pPr>
        <w:pStyle w:val="2"/>
        <w:spacing w:beforeLines="0" w:afterLines="0"/>
        <w:rPr>
          <w:color w:val="auto"/>
          <w:spacing w:val="0"/>
        </w:rPr>
      </w:pPr>
    </w:p>
    <w:p>
      <w:pPr>
        <w:keepNext w:val="0"/>
        <w:keepLines w:val="0"/>
        <w:pageBreakBefore w:val="0"/>
        <w:widowControl w:val="0"/>
        <w:kinsoku/>
        <w:wordWrap/>
        <w:overflowPunct/>
        <w:topLinePunct w:val="0"/>
        <w:autoSpaceDE/>
        <w:autoSpaceDN/>
        <w:bidi w:val="0"/>
        <w:adjustRightInd w:val="0"/>
        <w:snapToGrid w:val="0"/>
        <w:spacing w:beforeLines="0" w:afterLines="0" w:line="574"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spacing w:val="0"/>
          <w:kern w:val="32"/>
          <w:sz w:val="32"/>
          <w:szCs w:val="32"/>
        </w:rPr>
      </w:pPr>
      <w:r>
        <w:rPr>
          <w:rFonts w:hint="eastAsia" w:ascii="黑体" w:hAnsi="黑体" w:eastAsia="黑体" w:cs="黑体"/>
          <w:snapToGrid w:val="0"/>
          <w:color w:val="auto"/>
          <w:spacing w:val="0"/>
          <w:kern w:val="32"/>
          <w:sz w:val="32"/>
          <w:szCs w:val="32"/>
        </w:rPr>
        <w:t>公开方式：</w:t>
      </w:r>
      <w:r>
        <w:rPr>
          <w:rFonts w:hint="eastAsia" w:ascii="仿宋_GB2312" w:hAnsi="仿宋_GB2312" w:eastAsia="仿宋_GB2312" w:cs="仿宋_GB2312"/>
          <w:snapToGrid w:val="0"/>
          <w:color w:val="auto"/>
          <w:spacing w:val="0"/>
          <w:kern w:val="32"/>
          <w:sz w:val="32"/>
          <w:szCs w:val="32"/>
          <w:lang w:eastAsia="zh-CN"/>
        </w:rPr>
        <w:t>主动</w:t>
      </w:r>
      <w:r>
        <w:rPr>
          <w:rFonts w:hint="eastAsia" w:ascii="仿宋_GB2312" w:hAnsi="仿宋_GB2312" w:eastAsia="仿宋_GB2312" w:cs="仿宋_GB2312"/>
          <w:snapToGrid w:val="0"/>
          <w:color w:val="auto"/>
          <w:spacing w:val="0"/>
          <w:kern w:val="32"/>
          <w:sz w:val="32"/>
          <w:szCs w:val="32"/>
        </w:rPr>
        <w:t>公开</w:t>
      </w:r>
    </w:p>
    <w:p>
      <w:pPr>
        <w:keepNext w:val="0"/>
        <w:keepLines w:val="0"/>
        <w:pageBreakBefore w:val="0"/>
        <w:widowControl w:val="0"/>
        <w:kinsoku/>
        <w:wordWrap/>
        <w:overflowPunct/>
        <w:topLinePunct w:val="0"/>
        <w:autoSpaceDE/>
        <w:autoSpaceDN/>
        <w:bidi w:val="0"/>
        <w:adjustRightInd/>
        <w:snapToGrid/>
        <w:spacing w:beforeLines="0" w:afterLines="0" w:line="574" w:lineRule="exact"/>
        <w:ind w:left="0" w:leftChars="0" w:firstLine="0" w:firstLineChars="0"/>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59055</wp:posOffset>
                </wp:positionV>
                <wp:extent cx="5600700" cy="15240"/>
                <wp:effectExtent l="0" t="4445" r="0" b="8890"/>
                <wp:wrapNone/>
                <wp:docPr id="1028" name="直接连接符 1028"/>
                <wp:cNvGraphicFramePr/>
                <a:graphic xmlns:a="http://schemas.openxmlformats.org/drawingml/2006/main">
                  <a:graphicData uri="http://schemas.microsoft.com/office/word/2010/wordprocessingShape">
                    <wps:wsp>
                      <wps:cNvCnPr/>
                      <wps:spPr>
                        <a:xfrm>
                          <a:off x="0" y="0"/>
                          <a:ext cx="5600700" cy="15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4.65pt;height:1.2pt;width:441pt;z-index:251662336;mso-width-relative:page;mso-height-relative:page;" filled="f" stroked="t" coordsize="21600,21600" o:gfxdata="UEsDBAoAAAAAAIdO4kAAAAAAAAAAAAAAAAAEAAAAZHJzL1BLAwQUAAAACACHTuJAm2pqqtMAAAAF&#10;AQAADwAAAGRycy9kb3ducmV2LnhtbE2PvU7EMBCEeyTewVokmhNnJydBCHGuANLRcIBo9+IliYjX&#10;udj3A0/PUkE5mtHMN9X65Ed1oDkOgS1kSwOKuA1u4M7C60tzVYCKCdnhGJgsfFGEdX1+VmHpwpGf&#10;6bBJnZISjiVa6FOaSq1j25PHuAwTsXgfYfaYRM6ddjMepdyPOjfmWnscWBZ6nOi+p/Zzs/cWYvNG&#10;u+Z70S7M+6oLlO8enh7R2suLzNyBSnRKf2H4xRd0qIVpG/bsohotyJFk4XYFSsyiyEVvJZXdgK4r&#10;/Z++/gFQSwMEFAAAAAgAh07iQOFdBBb7AQAA+gMAAA4AAABkcnMvZTJvRG9jLnhtbK1TS44TMRDd&#10;I3EHy3vSnaAMTCudWUwYNghGAg5Qsd1pS/7J5fwuwQWQ2MGKJXtuw3AMyu4mDMMmC3rhLrvKz/We&#10;nxdXB2vYTkXU3rV8Oqk5U054qd2m5e/f3Tx5zhkmcBKMd6rlR4X8avn40WIfGjXzvTdSRUYgDpt9&#10;aHmfUmiqCkWvLODEB+Uo2floIdE0bioZYU/o1lSzur6o9j7KEL1QiLS6GpJ8RIznAPqu00KtvNha&#10;5dKAGpWBRJSw1wH5snTbdUqkN12HKjHTcmKaykiHULzOY7VcQLOJEHotxhbgnBYecLKgHR16glpB&#10;AraN+h8oq0X06Ls0Ed5WA5GiCLGY1g+0edtDUIULSY3hJDr+P1jxencbmZbkhHpGN+/A0p3fffz2&#10;48Pnn98/0Xj39QsrOZJqH7ChHdfuNo4zDLcx8z500eY/MWKHIu/xJK86JCZocX5R189qUl5Qbjqf&#10;Pb3M8ld/NoeI6aXyluWg5Ua7zB4a2L3CNJT+LsnLxrF9yy/nszlBAlmxIwtQaAPRQbcpe9EbLW+0&#10;MXkHxs362kS2g2yH8o0t/FWWD1kB9kNdSQ1GiX7rJDUCTa9AvnCSpWMgvRy9FJ6bsUpyZhQ9rByV&#10;ygTanFNJOhiXoVWx7cg4Kz5onKO1l8cifZVnZIki32jf7Ln7c4rvP9n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qaqrTAAAABQEAAA8AAAAAAAAAAQAgAAAAIgAAAGRycy9kb3ducmV2LnhtbFBL&#10;AQIUABQAAAAIAIdO4kDhXQQW+wEAAPoDAAAOAAAAAAAAAAEAIAAAACI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sz w:val="32"/>
          <w:szCs w:val="32"/>
          <w:lang w:val="en-US" w:eastAsia="zh-CN"/>
        </w:rPr>
        <w:t>抄送：</w:t>
      </w:r>
      <w:r>
        <w:rPr>
          <w:rFonts w:hint="eastAsia" w:ascii="仿宋_GB2312" w:hAnsi="仿宋_GB2312" w:eastAsia="仿宋_GB2312" w:cs="仿宋_GB2312"/>
          <w:spacing w:val="0"/>
          <w:sz w:val="32"/>
          <w:szCs w:val="32"/>
        </w:rPr>
        <w:t>市政府办公室</w:t>
      </w:r>
      <w:r>
        <w:rPr>
          <w:rFonts w:hint="eastAsia" w:ascii="仿宋_GB2312" w:hAnsi="仿宋_GB2312" w:eastAsia="仿宋_GB2312" w:cs="仿宋_GB2312"/>
          <w:spacing w:val="0"/>
          <w:sz w:val="32"/>
          <w:szCs w:val="32"/>
          <w:lang w:eastAsia="zh-CN"/>
        </w:rPr>
        <w:t>、</w:t>
      </w:r>
      <w:r>
        <w:rPr>
          <w:rFonts w:hint="eastAsia" w:hAnsi="仿宋_GB2312" w:cs="仿宋_GB2312"/>
          <w:spacing w:val="0"/>
          <w:sz w:val="32"/>
          <w:szCs w:val="32"/>
          <w:lang w:eastAsia="zh-CN"/>
        </w:rPr>
        <w:t>市政协提案科、市市场监督管理局、</w:t>
      </w:r>
      <w:r>
        <w:rPr>
          <w:rFonts w:hint="eastAsia" w:ascii="仿宋_GB2312" w:hAnsi="仿宋_GB2312" w:eastAsia="仿宋_GB2312" w:cs="仿宋_GB2312"/>
          <w:spacing w:val="0"/>
          <w:sz w:val="32"/>
          <w:szCs w:val="32"/>
          <w:lang w:eastAsia="zh-CN"/>
        </w:rPr>
        <w:t>市</w:t>
      </w:r>
      <w:r>
        <w:rPr>
          <w:rFonts w:hint="eastAsia" w:ascii="仿宋_GB2312" w:hAnsi="仿宋_GB2312" w:eastAsia="仿宋_GB2312" w:cs="仿宋_GB2312"/>
          <w:spacing w:val="0"/>
          <w:sz w:val="32"/>
          <w:szCs w:val="32"/>
          <w:lang w:val="en-US" w:eastAsia="zh-CN"/>
        </w:rPr>
        <w:t>自然资源局、</w:t>
      </w:r>
      <w:r>
        <w:rPr>
          <w:rFonts w:hint="eastAsia" w:hAnsi="仿宋_GB2312" w:cs="仿宋_GB2312"/>
          <w:spacing w:val="0"/>
          <w:sz w:val="32"/>
          <w:szCs w:val="32"/>
          <w:lang w:val="en-US" w:eastAsia="zh-CN"/>
        </w:rPr>
        <w:t>人民银行中山市中心支行、中山银保监分局、中山市税务局</w:t>
      </w:r>
      <w:r>
        <w:rPr>
          <w:rFonts w:hint="default" w:ascii="仿宋_GB2312" w:hAnsi="仿宋_GB2312" w:eastAsia="仿宋_GB2312" w:cs="仿宋_GB2312"/>
          <w:color w:val="auto"/>
          <w:spacing w:val="0"/>
          <w:sz w:val="32"/>
          <w:szCs w:val="32"/>
          <w:lang w:val="en-US" w:eastAsia="zh-CN"/>
        </w:rPr>
        <w:t>。</w:t>
      </w:r>
    </w:p>
    <w:p>
      <w:pPr>
        <w:spacing w:beforeLines="0" w:afterLines="0"/>
      </w:pP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30480</wp:posOffset>
                </wp:positionV>
                <wp:extent cx="5600700" cy="15240"/>
                <wp:effectExtent l="0" t="4445" r="0" b="8890"/>
                <wp:wrapNone/>
                <wp:docPr id="1029" name="直接连接符 1029"/>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2.4pt;height:1.2pt;width:441pt;z-index:251663360;mso-width-relative:page;mso-height-relative:page;" filled="f" stroked="t" coordsize="21600,21600" o:gfxdata="UEsDBAoAAAAAAIdO4kAAAAAAAAAAAAAAAAAEAAAAZHJzL1BLAwQUAAAACACHTuJAkYLe0tIAAAAE&#10;AQAADwAAAGRycy9kb3ducmV2LnhtbE2PzU7DMBCE70i8g7VIXKrWbkA0CnF6AHLjQgviuo2XJCJe&#10;p7H7A0/PcoLjaEYz35Trsx/UkabYB7awXBhQxE1wPbcWXrf1PAcVE7LDITBZ+KII6+ryosTChRO/&#10;0HGTWiUlHAu00KU0FlrHpiOPcRFGYvE+wuQxiZxa7SY8SbkfdGbMnfbYsyx0ONJDR83n5uAtxPqN&#10;9vX3rJmZ95s2ULZ/fH5Ca6+vluYeVKJz+gvDL76gQyVMu3BgF9VgQY4kC7eCL2aeZ6J3FlYZ6KrU&#10;/+GrH1BLAwQUAAAACACHTuJAs/QJq/4BAAD6AwAADgAAAGRycy9lMm9Eb2MueG1srVNLjhMxEN0j&#10;cQfLe9KdiAxMK51ZTBg2CEYCDlCx3WlL/snlpJNLcAEkdrBiyZ7bMByDsjuEYdhkQRZO2VX1XO/1&#10;8+Jqbw3bqYjau5ZPJzVnygkvtdu0/P27myfPOcMEToLxTrX8oJBfLR8/WgyhUTPfeyNVZATisBlC&#10;y/uUQlNVKHplASc+KEfJzkcLibZxU8kIA6FbU83q+qIafJQheqEQ6XQ1JvkRMZ4D6LtOC7XyYmuV&#10;SyNqVAYSUcJeB+TLMm3XKZHedB2qxEzLiWkqK11C8Tqv1XIBzSZC6LU4jgDnjPCAkwXt6NIT1AoS&#10;sG3U/0BZLaJH36WJ8LYaiRRFiMW0fqDN2x6CKlxIagwn0fH/wYrXu9vItCQn1LNLzhxY+uZ3H7/9&#10;+PD55/dPtN59/cJKjqQaAjbUce1u43GH4TZm3vsu2vxPjNi+yHs4yav2iQk6nF/U9bOalBeUm85n&#10;T4v81Z/mEDG9VN6yHLTcaJfZQwO7V5joQir9XZKPjWNDyy/nszlBAlmxIwtQaAPRQbcpveiNljfa&#10;mNyBcbO+NpHtINuh/LIDCPevsnzJCrAf60pqNEr0WyepAZpegXzhJEuHQHo5eik8D2OV5Mwoelg5&#10;KpUJtDmnkoYwLkOrYtsj46z4qHGO1l4eivRV3pElyuxH+2bP3d9TfP/JL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YLe0tIAAAAEAQAADwAAAAAAAAABACAAAAAiAAAAZHJzL2Rvd25yZXYueG1s&#10;UEsBAhQAFAAAAAgAh07iQLP0Cav+AQAA+gMAAA4AAAAAAAAAAQAgAAAAI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pacing w:val="0"/>
          <w:kern w:val="2"/>
          <w:sz w:val="32"/>
          <w:szCs w:val="3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381000</wp:posOffset>
                </wp:positionV>
                <wp:extent cx="5600700" cy="15240"/>
                <wp:effectExtent l="0" t="4445" r="0" b="8890"/>
                <wp:wrapNone/>
                <wp:docPr id="1030" name="直接连接符 1030"/>
                <wp:cNvGraphicFramePr/>
                <a:graphic xmlns:a="http://schemas.openxmlformats.org/drawingml/2006/main">
                  <a:graphicData uri="http://schemas.microsoft.com/office/word/2010/wordprocessingShape">
                    <wps:wsp>
                      <wps:cNvCnPr/>
                      <wps:spPr>
                        <a:xfrm>
                          <a:off x="0" y="0"/>
                          <a:ext cx="5600700" cy="1524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pt;margin-top:30pt;height:1.2pt;width:441pt;z-index:251664384;mso-width-relative:page;mso-height-relative:page;" filled="f" stroked="t" coordsize="21600,21600" o:gfxdata="UEsDBAoAAAAAAIdO4kAAAAAAAAAAAAAAAAAEAAAAZHJzL1BLAwQUAAAACACHTuJA7nmp9dQAAAAG&#10;AQAADwAAAGRycy9kb3ducmV2LnhtbE2Py07DMBBF90j8gzVIbCpqN6AqCnG6ALJjQyliO42nSdR4&#10;nMbuA76eYQWredzRvWfK1cUP6kRT7ANbWMwNKOImuJ5bC5v3+i4HFROywyEwWfiiCKvq+qrEwoUz&#10;v9FpnVolJhwLtNClNBZax6Yjj3EeRmLRdmHymGScWu0mPIu5H3RmzFJ77FkSOhzpqaNmvz56C7H+&#10;oEP9PWtm5vO+DZQdnl9f0Nrbm4V5BJXokv6O4Rdf0KESpm04sotqsCCPJAtLI1XUPM+k2coiewBd&#10;lfo/fvUDUEsDBBQAAAAIAIdO4kD2ot/9/QEAAPoDAAAOAAAAZHJzL2Uyb0RvYy54bWytU0uOEzEQ&#10;3SNxB8t70p1ABmilM4sJwwbBSMABKrY7bck/uZx0cgkugMQOVizZcxuGY1B2hzAMmyzIwinbVa/q&#10;vX5eXO6tYTsVUXvX8umk5kw54aV2m5a/f3f96BlnmMBJMN6plh8U8svlwweLITRq5ntvpIqMQBw2&#10;Q2h5n1JoqgpFryzgxAfl6LLz0UKibdxUMsJA6NZUs7q+qAYfZYheKEQ6XY2X/IgYzwH0XaeFWnmx&#10;tcqlETUqA4koYa8D8mWZtuuUSG+6DlVipuXENJWVmlC8zmu1XECziRB6LY4jwDkj3ONkQTtqeoJa&#10;QQK2jfofKKtF9Oi7NBHeViORogixmNb3tHnbQ1CFC0mN4SQ6/j9Y8Xp3E5mW5IT6MYniwNI3v/34&#10;7ceHzz+/f6L19usXVu5IqiFgQxVX7iYedxhuYua976LN/8SI7Yu8h5O8ap+YoMP5RV0/ramJoLvp&#10;fPakyF/9KQ4R00vlLctBy412mT00sHuFiRpS6u+UfGwcG1r+fD6bEySQFTuyAIU2EB10m1KL3mh5&#10;rY3JFRg36ysT2Q6yHcovO4Bw/0rLTVaA/ZhXrkajRL91kgqg6RXIF06ydAikl6OXwvMwVknOjKKH&#10;laOSmUCbczJpCOMytCq2PTLOio8a52jt5aFIX+UdWaLMfrRv9tzdPcV3n+z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5qfXUAAAABgEAAA8AAAAAAAAAAQAgAAAAIgAAAGRycy9kb3ducmV2Lnht&#10;bFBLAQIUABQAAAAIAIdO4kD2ot/9/QEAAPoDAAAOAAAAAAAAAAEAIAAAACM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color w:val="auto"/>
          <w:spacing w:val="0"/>
          <w:kern w:val="32"/>
          <w:sz w:val="32"/>
          <w:szCs w:val="32"/>
        </w:rPr>
        <w:t xml:space="preserve">中山市住房和城乡建设局办公室 </w:t>
      </w:r>
      <w:r>
        <w:rPr>
          <w:rFonts w:hint="eastAsia" w:ascii="仿宋_GB2312" w:hAnsi="仿宋_GB2312" w:eastAsia="仿宋_GB2312" w:cs="仿宋_GB2312"/>
          <w:snapToGrid w:val="0"/>
          <w:color w:val="auto"/>
          <w:spacing w:val="0"/>
          <w:kern w:val="32"/>
          <w:sz w:val="32"/>
          <w:szCs w:val="32"/>
          <w:lang w:val="en-US" w:eastAsia="zh-CN"/>
        </w:rPr>
        <w:t xml:space="preserve">       </w:t>
      </w:r>
      <w:r>
        <w:rPr>
          <w:rFonts w:hint="eastAsia" w:ascii="仿宋_GB2312" w:hAnsi="仿宋_GB2312" w:eastAsia="仿宋_GB2312" w:cs="仿宋_GB2312"/>
          <w:snapToGrid w:val="0"/>
          <w:color w:val="auto"/>
          <w:spacing w:val="0"/>
          <w:kern w:val="32"/>
          <w:sz w:val="32"/>
          <w:szCs w:val="32"/>
        </w:rPr>
        <w:t>20</w:t>
      </w:r>
      <w:r>
        <w:rPr>
          <w:rFonts w:hint="eastAsia" w:ascii="仿宋_GB2312" w:hAnsi="仿宋_GB2312" w:eastAsia="仿宋_GB2312" w:cs="仿宋_GB2312"/>
          <w:snapToGrid w:val="0"/>
          <w:color w:val="auto"/>
          <w:spacing w:val="0"/>
          <w:kern w:val="32"/>
          <w:sz w:val="32"/>
          <w:szCs w:val="32"/>
          <w:lang w:val="en-US" w:eastAsia="zh-CN"/>
        </w:rPr>
        <w:t>22</w:t>
      </w:r>
      <w:r>
        <w:rPr>
          <w:rFonts w:hint="eastAsia" w:ascii="仿宋_GB2312" w:hAnsi="仿宋_GB2312" w:eastAsia="仿宋_GB2312" w:cs="仿宋_GB2312"/>
          <w:snapToGrid w:val="0"/>
          <w:color w:val="auto"/>
          <w:spacing w:val="0"/>
          <w:kern w:val="32"/>
          <w:sz w:val="32"/>
          <w:szCs w:val="32"/>
        </w:rPr>
        <w:t>年</w:t>
      </w:r>
      <w:r>
        <w:rPr>
          <w:rFonts w:hint="eastAsia" w:ascii="仿宋_GB2312" w:hAnsi="仿宋_GB2312" w:eastAsia="仿宋_GB2312" w:cs="仿宋_GB2312"/>
          <w:snapToGrid w:val="0"/>
          <w:color w:val="auto"/>
          <w:spacing w:val="0"/>
          <w:kern w:val="32"/>
          <w:sz w:val="32"/>
          <w:szCs w:val="32"/>
          <w:lang w:val="en-US" w:eastAsia="zh-CN"/>
        </w:rPr>
        <w:t>6</w:t>
      </w:r>
      <w:r>
        <w:rPr>
          <w:rFonts w:hint="eastAsia" w:ascii="仿宋_GB2312" w:hAnsi="仿宋_GB2312" w:eastAsia="仿宋_GB2312" w:cs="仿宋_GB2312"/>
          <w:snapToGrid w:val="0"/>
          <w:color w:val="auto"/>
          <w:spacing w:val="0"/>
          <w:kern w:val="32"/>
          <w:sz w:val="32"/>
          <w:szCs w:val="32"/>
        </w:rPr>
        <w:t>月</w:t>
      </w:r>
      <w:r>
        <w:rPr>
          <w:rFonts w:hint="eastAsia" w:hAnsi="仿宋_GB2312" w:cs="仿宋_GB2312"/>
          <w:snapToGrid w:val="0"/>
          <w:color w:val="auto"/>
          <w:spacing w:val="0"/>
          <w:kern w:val="32"/>
          <w:sz w:val="32"/>
          <w:szCs w:val="32"/>
          <w:lang w:val="en-US" w:eastAsia="zh-CN"/>
        </w:rPr>
        <w:t>14</w:t>
      </w:r>
      <w:r>
        <w:rPr>
          <w:rFonts w:hint="eastAsia" w:ascii="仿宋_GB2312" w:hAnsi="仿宋_GB2312" w:eastAsia="仿宋_GB2312" w:cs="仿宋_GB2312"/>
          <w:snapToGrid w:val="0"/>
          <w:color w:val="auto"/>
          <w:spacing w:val="0"/>
          <w:kern w:val="32"/>
          <w:sz w:val="32"/>
          <w:szCs w:val="32"/>
        </w:rPr>
        <w:t>日印发</w:t>
      </w:r>
    </w:p>
    <w:sectPr>
      <w:footerReference r:id="rId5" w:type="default"/>
      <w:pgSz w:w="11906" w:h="16838"/>
      <w:pgMar w:top="117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jdjNGMyZWI2NzdkZTQwYWQwMDVmNTJlMTdkYzYifQ=="/>
  </w:docVars>
  <w:rsids>
    <w:rsidRoot w:val="00172A27"/>
    <w:rsid w:val="004B6A62"/>
    <w:rsid w:val="013E186E"/>
    <w:rsid w:val="02E10A18"/>
    <w:rsid w:val="03937891"/>
    <w:rsid w:val="03DD51CF"/>
    <w:rsid w:val="05187ADB"/>
    <w:rsid w:val="05FB6283"/>
    <w:rsid w:val="086C37FE"/>
    <w:rsid w:val="08E266E2"/>
    <w:rsid w:val="094346A3"/>
    <w:rsid w:val="09934B32"/>
    <w:rsid w:val="0C0151BC"/>
    <w:rsid w:val="0C2B1081"/>
    <w:rsid w:val="0C720768"/>
    <w:rsid w:val="118A5EC2"/>
    <w:rsid w:val="12615842"/>
    <w:rsid w:val="128B27EE"/>
    <w:rsid w:val="12B63AEC"/>
    <w:rsid w:val="13AD68DF"/>
    <w:rsid w:val="156C72BA"/>
    <w:rsid w:val="16CE6A53"/>
    <w:rsid w:val="18C52B90"/>
    <w:rsid w:val="18FB3194"/>
    <w:rsid w:val="1A8A6A1A"/>
    <w:rsid w:val="1AA43D80"/>
    <w:rsid w:val="1BCD4824"/>
    <w:rsid w:val="1C0847D8"/>
    <w:rsid w:val="1C7A06EA"/>
    <w:rsid w:val="1CDA5DE9"/>
    <w:rsid w:val="1DB1697F"/>
    <w:rsid w:val="1DDD234C"/>
    <w:rsid w:val="1F6E1024"/>
    <w:rsid w:val="202D1F18"/>
    <w:rsid w:val="20D367A9"/>
    <w:rsid w:val="21E96592"/>
    <w:rsid w:val="230E0D55"/>
    <w:rsid w:val="25457940"/>
    <w:rsid w:val="25953F14"/>
    <w:rsid w:val="263B3E16"/>
    <w:rsid w:val="2800404B"/>
    <w:rsid w:val="283F15EA"/>
    <w:rsid w:val="286025A5"/>
    <w:rsid w:val="29E80789"/>
    <w:rsid w:val="2AAB1019"/>
    <w:rsid w:val="2EC22A7C"/>
    <w:rsid w:val="314D4525"/>
    <w:rsid w:val="353B7D8A"/>
    <w:rsid w:val="354A545C"/>
    <w:rsid w:val="358E63D6"/>
    <w:rsid w:val="35CF617A"/>
    <w:rsid w:val="35FF4A36"/>
    <w:rsid w:val="364B6EDF"/>
    <w:rsid w:val="378E1122"/>
    <w:rsid w:val="38287211"/>
    <w:rsid w:val="38531145"/>
    <w:rsid w:val="3A822D76"/>
    <w:rsid w:val="3BBDBF38"/>
    <w:rsid w:val="3C0515D9"/>
    <w:rsid w:val="3CD92DEC"/>
    <w:rsid w:val="3D103FAF"/>
    <w:rsid w:val="3E2A4393"/>
    <w:rsid w:val="3E4B3AAB"/>
    <w:rsid w:val="3F430362"/>
    <w:rsid w:val="3FE130E6"/>
    <w:rsid w:val="3FFFA9B8"/>
    <w:rsid w:val="401C0E54"/>
    <w:rsid w:val="42067E26"/>
    <w:rsid w:val="426A0952"/>
    <w:rsid w:val="42B02798"/>
    <w:rsid w:val="42F278D6"/>
    <w:rsid w:val="46A90388"/>
    <w:rsid w:val="471A4DAC"/>
    <w:rsid w:val="48433D20"/>
    <w:rsid w:val="487516C6"/>
    <w:rsid w:val="48BB49CB"/>
    <w:rsid w:val="49416308"/>
    <w:rsid w:val="4965284B"/>
    <w:rsid w:val="49E55C8C"/>
    <w:rsid w:val="4A622780"/>
    <w:rsid w:val="4ABC11F9"/>
    <w:rsid w:val="4C7D549B"/>
    <w:rsid w:val="500E7354"/>
    <w:rsid w:val="50B45426"/>
    <w:rsid w:val="5465006C"/>
    <w:rsid w:val="558C178E"/>
    <w:rsid w:val="5678429D"/>
    <w:rsid w:val="567E771D"/>
    <w:rsid w:val="59A31A61"/>
    <w:rsid w:val="5A29221B"/>
    <w:rsid w:val="5A8D79D4"/>
    <w:rsid w:val="5B833218"/>
    <w:rsid w:val="5B944AC1"/>
    <w:rsid w:val="5BDE64DF"/>
    <w:rsid w:val="5CD22EF6"/>
    <w:rsid w:val="5D690041"/>
    <w:rsid w:val="5EA87E3C"/>
    <w:rsid w:val="5F4F0256"/>
    <w:rsid w:val="5F62088F"/>
    <w:rsid w:val="603271E5"/>
    <w:rsid w:val="611608E2"/>
    <w:rsid w:val="631C3334"/>
    <w:rsid w:val="64494D15"/>
    <w:rsid w:val="64B1466D"/>
    <w:rsid w:val="64E91FC7"/>
    <w:rsid w:val="671668A4"/>
    <w:rsid w:val="68902039"/>
    <w:rsid w:val="68987A56"/>
    <w:rsid w:val="6A2D3693"/>
    <w:rsid w:val="6AC77BB2"/>
    <w:rsid w:val="6BA1277C"/>
    <w:rsid w:val="6BCF0E3F"/>
    <w:rsid w:val="6E0A33C9"/>
    <w:rsid w:val="6E5C2B88"/>
    <w:rsid w:val="736779ED"/>
    <w:rsid w:val="75521DEA"/>
    <w:rsid w:val="755A17E0"/>
    <w:rsid w:val="7567BE69"/>
    <w:rsid w:val="761923B7"/>
    <w:rsid w:val="779C3876"/>
    <w:rsid w:val="79084FFD"/>
    <w:rsid w:val="7AE16CC3"/>
    <w:rsid w:val="7B6D40B0"/>
    <w:rsid w:val="7BFCF34D"/>
    <w:rsid w:val="7D0612BE"/>
    <w:rsid w:val="7D376723"/>
    <w:rsid w:val="7D50291A"/>
    <w:rsid w:val="7D510074"/>
    <w:rsid w:val="7DFE118E"/>
    <w:rsid w:val="7EC4762F"/>
    <w:rsid w:val="7F154446"/>
    <w:rsid w:val="7FB6D179"/>
    <w:rsid w:val="7FDC4DAA"/>
    <w:rsid w:val="BE8E5226"/>
    <w:rsid w:val="ECFFBD37"/>
    <w:rsid w:val="F7FFD7DF"/>
    <w:rsid w:val="FF3F8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uppressLineNumbers/>
      <w:adjustRightInd w:val="0"/>
      <w:snapToGrid w:val="0"/>
      <w:spacing w:line="574" w:lineRule="exact"/>
      <w:jc w:val="both"/>
    </w:pPr>
    <w:rPr>
      <w:rFonts w:ascii="仿宋_GB2312" w:hAnsi="仿宋_GB2312" w:eastAsia="仿宋_GB2312" w:cs="Times New Roman"/>
      <w:snapToGrid w:val="0"/>
      <w:spacing w:val="-6"/>
      <w:kern w:val="32"/>
      <w:sz w:val="32"/>
      <w:szCs w:val="24"/>
      <w:lang w:val="en-US" w:eastAsia="zh-CN" w:bidi="ar-SA"/>
    </w:rPr>
  </w:style>
  <w:style w:type="paragraph" w:styleId="3">
    <w:name w:val="toc 5"/>
    <w:basedOn w:val="1"/>
    <w:next w:val="1"/>
    <w:qFormat/>
    <w:uiPriority w:val="0"/>
    <w:pPr>
      <w:widowControl w:val="0"/>
      <w:suppressLineNumbers/>
      <w:adjustRightInd w:val="0"/>
      <w:snapToGrid w:val="0"/>
      <w:spacing w:line="574" w:lineRule="exact"/>
      <w:ind w:left="1680"/>
      <w:jc w:val="both"/>
    </w:pPr>
    <w:rPr>
      <w:rFonts w:ascii="仿宋_GB2312" w:hAnsi="Times New Roman" w:eastAsia="仿宋_GB2312" w:cs="Times New Roman"/>
      <w:snapToGrid w:val="0"/>
      <w:spacing w:val="-6"/>
      <w:kern w:val="32"/>
      <w:sz w:val="32"/>
      <w:szCs w:val="24"/>
      <w:lang w:val="en-US" w:eastAsia="zh-CN" w:bidi="ar-SA"/>
    </w:rPr>
  </w:style>
  <w:style w:type="paragraph" w:styleId="4">
    <w:name w:val="toa heading"/>
    <w:basedOn w:val="1"/>
    <w:next w:val="1"/>
    <w:qFormat/>
    <w:uiPriority w:val="0"/>
    <w:pPr>
      <w:spacing w:before="120"/>
    </w:pPr>
    <w:rPr>
      <w:rFonts w:ascii="Cambria" w:hAnsi="Cambri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2"/>
    <w:qFormat/>
    <w:uiPriority w:val="0"/>
    <w:pPr>
      <w:ind w:firstLine="420" w:firstLineChars="100"/>
    </w:pPr>
  </w:style>
  <w:style w:type="paragraph" w:customStyle="1" w:styleId="10">
    <w:name w:val="news"/>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1">
    <w:name w:val="Normal"/>
    <w:basedOn w:val="12"/>
    <w:qFormat/>
    <w:uiPriority w:val="0"/>
    <w:pPr>
      <w:widowControl/>
      <w:jc w:val="both"/>
    </w:pPr>
    <w:rPr>
      <w:rFonts w:ascii="Times New Roman" w:hAnsi="Times New Roman" w:eastAsia="Times New Roman"/>
      <w:sz w:val="32"/>
    </w:rPr>
  </w:style>
  <w:style w:type="paragraph" w:customStyle="1" w:styleId="12">
    <w:name w:val="[Normal]"/>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9</Pages>
  <Words>4917</Words>
  <Characters>5002</Characters>
  <Lines>0</Lines>
  <Paragraphs>0</Paragraphs>
  <TotalTime>4</TotalTime>
  <ScaleCrop>false</ScaleCrop>
  <LinksUpToDate>false</LinksUpToDate>
  <CharactersWithSpaces>5052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2022-05-13T09:42:00Z</dcterms:created>
  <dc:creator>丘雅</dc:creator>
  <cp:lastModifiedBy>Lenovo</cp:lastModifiedBy>
  <cp:lastPrinted>2022-05-26T15:35:00Z</cp:lastPrinted>
  <dcterms:modified xsi:type="dcterms:W3CDTF">2023-06-26T15:24:18Z</dcterms:modified>
  <dc:title>中山市住房和城乡建设局关于市政协十三届一次会议第131050号提案答复的函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AB7739D18D954B8F90CF617BB36BA562_12</vt:lpwstr>
  </property>
</Properties>
</file>